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Times New Roman" w:cs="Times New Roman" w:eastAsia="Times New Roman" w:hAnsi="Times New Roman"/>
        </w:rPr>
      </w:pPr>
      <w:r w:rsidDel="00000000" w:rsidR="00000000" w:rsidRPr="00000000">
        <w:rPr>
          <w:rtl w:val="0"/>
        </w:rPr>
      </w:r>
    </w:p>
    <w:tbl>
      <w:tblPr>
        <w:tblStyle w:val="Table1"/>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90"/>
        <w:gridCol w:w="3960"/>
        <w:gridCol w:w="4680"/>
        <w:tblGridChange w:id="0">
          <w:tblGrid>
            <w:gridCol w:w="1770"/>
            <w:gridCol w:w="690"/>
            <w:gridCol w:w="3960"/>
            <w:gridCol w:w="468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CU-12</w:t>
            </w:r>
          </w:p>
        </w:tc>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Ejecutar Consulta Avanzada (Cruce de Variables)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del Vicedecanato aplica múltiples filtros simultáneos sobre la base de datos de investigación (departamento, grupo, línea de investigación, tipo de publicación, estado del proyecto, entre otros) para obtener un conjunto de datos específico y exportar los resultados a Excel o PDF para su análisis o presentación institucional.</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Vicedecanato / Unidad de Investigación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condiciones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usuario ha iniciado sesión con rol de Administrador.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sistema cuenta con datos registrados en las entidades de Docentes, Grupos de Investigación, Proyectos y Publicaciones.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El módulo de Motor de Consultas y Reportes está disponible.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 condiciones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sistema ha ejecutado la consulta con los filtros seleccionados y mostrado los resultados en pantalla. </w:t>
            </w:r>
          </w:p>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El usuario ha podido exportar los resultados en el formato deseado (Excel o PDF). </w:t>
            </w:r>
          </w:p>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Los resultados mostrados son consistentes con los datos almacenados y los filtros aplicados.</w:t>
            </w:r>
          </w:p>
        </w:tc>
      </w:tr>
      <w:tr>
        <w:trPr>
          <w:cantSplit w:val="0"/>
          <w:trHeight w:val="420" w:hRule="atLeast"/>
          <w:tblHeader w:val="0"/>
        </w:trPr>
        <w:tc>
          <w:tcPr>
            <w:vMerge w:val="restart"/>
            <w:shd w:fill="fff2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Secuencia Normal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Reacción (sistema)</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accede al módulo "Motor de Consultas" y selecciona la opción "Consulta Avanzada".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muestra el panel de filtros con todos los criterios disponibles: Departamento Académico, Grupo de Investigación, Línea de Investigación, Tipo de Publicación, Estado del Proyecto, Año/Período, Nivel Renacyt del docente, entre otros.</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selecciona uno o más filtros. Por ejemplo: Departamento = 'Ciencias de la Computación', Grupo = 'Grupo de IA', Línea =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dinámicamente las opciones de los filtros dependientes (ej. al seleccionar un Departamento, filtra los grupos disponibles a solo los de ese departamento).</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0" w:firstLine="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Administrador confirma la ejecución de la consulta presionando "Buscar".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Administrador confirma la ejecución de la consulta presionando "Buscar".</w:t>
            </w: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Si la consulta no retorna resultados: el sistema muestra el mensaje 'No se encontraron registros con los filtros seleccionados' y permite modificar los 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revisa los resultados en pantalla y selecciona el formato de exportación deseado (Excel 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el archivo con los resultados de la consulta incluyendo los filtros aplicados como encabezado del reporte, la fecha de generación y el nombre del usuario que ejecutó la consulta.</w:t>
            </w:r>
          </w:p>
        </w:tc>
      </w:tr>
      <w:tr>
        <w:trPr>
          <w:cantSplit w:val="0"/>
          <w:trHeight w:val="420" w:hRule="atLeast"/>
          <w:tblHeader w:val="0"/>
        </w:trPr>
        <w:tc>
          <w:tcPr>
            <w:vMerge w:val="continue"/>
            <w:shd w:fill="fff2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descarga el archivo generado.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registra en el historial de auditoría la consulta ejecutada (usuario, filtros aplicados, fecha y hora, cantidad de registros retornados).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Excepciones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Acción (actor)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Reacción (sistema)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que el Administrador ejecute la consulta sin seleccionar ningún filtro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una advertencia indicando que se retornarán todos los registros y solicitará confirmación, dado el potencial alto volumen de datos.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que el número de registros resultado supere el límite definido para la exportación directa (ej. más de 5,000 filas).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notificar al usuario y ofrecer la opción de procesar la exportación en segundo plano, notificando al usuario cuando esté lista.</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que el servicio de generación de reportes no esté disponible temporalmente.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mostrar un mensaje de error amigable e indicar que intente nuevamente en unos minutos, sin perder los filtros seleccionados por el usuario.</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que la sesión del usuario expire durante la ejecución de la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redirigir al usuario al inicio de sesión, conservando los parámetros de la consulta en una variable de sesión temporal para restaurarlos al volver a autenticarse.</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Rendimiento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ejecutar la consulta y mostrar los primeros resultados paginados (paso 3) en un máximo de 5 segundos para conjuntos de hasta 1,000 registros. La generación del archivo de exportación (paso 4) deberá completarse en un máximo de 15 segundos para hasta 500 registros.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Frecuencia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caso de uso se espera que se lleve a cabo una media de 15 veces al mes, con picos en los meses de corte trimestral (Abril, Agosto, Noviembre) y durante auditorías institucionales.</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Importancia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Vital</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Urgencia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presión</w:t>
            </w:r>
          </w:p>
        </w:tc>
      </w:tr>
      <w:tr>
        <w:trPr>
          <w:cantSplit w:val="0"/>
          <w:trHeight w:val="420"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Comentarios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caso de uso es el núcleo analítico del sistema y debe diseñarse con una arquitectura de consultas optimizada (índices en la base de datos). El cruce más solicitado por el cliente es: Departamento + Grupo de Investigación + Línea de Investigación. El reporte exportado debe incluir siempre el encabezado institucional, los filtros aplicados y la fecha de generación para trazabilidad. Considerar la implementación de consultas guardadas para que el Administrador pueda reutilizar combinaciones de filtros frecuentes.</w:t>
            </w:r>
          </w:p>
        </w:tc>
      </w:tr>
    </w:tbl>
    <w:p w:rsidR="00000000" w:rsidDel="00000000" w:rsidP="00000000" w:rsidRDefault="00000000" w:rsidRPr="00000000" w14:paraId="0000005F">
      <w:pPr>
        <w:pageBreakBefore w:val="0"/>
        <w:rPr>
          <w:rFonts w:ascii="Times New Roman" w:cs="Times New Roman" w:eastAsia="Times New Roman" w:hAnsi="Times New Roman"/>
        </w:rPr>
      </w:pPr>
      <w:r w:rsidDel="00000000" w:rsidR="00000000" w:rsidRPr="00000000">
        <w:rPr>
          <w:rtl w:val="0"/>
        </w:rPr>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1P7Z6b/EFLb5DGVv9+/y0iXulg==">CgMxLjA4AHIhMUlIZTBOdHZrR1ZqbVYzcno0SzYxODFfWXh3VHEyVi1K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