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Plan de Gestión de la Configuración</w:t>
      </w:r>
    </w:p>
    <w:p w:rsidR="00000000" w:rsidDel="00000000" w:rsidP="00000000" w:rsidRDefault="00000000" w:rsidRPr="00000000" w14:paraId="00000002">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2026-1</w:t>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Grupo</w:t>
      </w:r>
    </w:p>
    <w:p w:rsidR="00000000" w:rsidDel="00000000" w:rsidP="00000000" w:rsidRDefault="00000000" w:rsidRPr="00000000" w14:paraId="00000004">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highlight w:val="yellow"/>
          <w:rtl w:val="0"/>
        </w:rPr>
        <w:t xml:space="preserve">Integrantes</w:t>
      </w:r>
    </w:p>
    <w:p w:rsidR="00000000" w:rsidDel="00000000" w:rsidP="00000000" w:rsidRDefault="00000000" w:rsidRPr="00000000" w14:paraId="00000005">
      <w:pPr>
        <w:numPr>
          <w:ilvl w:val="0"/>
          <w:numId w:val="1"/>
        </w:numPr>
        <w:spacing w:after="0" w:afterAutospacing="0"/>
        <w:ind w:left="720" w:hanging="360"/>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highlight w:val="yellow"/>
          <w:rtl w:val="0"/>
        </w:rPr>
        <w:t xml:space="preserve">Castilla Huanca Marco Renato</w:t>
      </w:r>
    </w:p>
    <w:p w:rsidR="00000000" w:rsidDel="00000000" w:rsidP="00000000" w:rsidRDefault="00000000" w:rsidRPr="00000000" w14:paraId="00000006">
      <w:pPr>
        <w:numPr>
          <w:ilvl w:val="0"/>
          <w:numId w:val="1"/>
        </w:numPr>
        <w:spacing w:after="0" w:afterAutospacing="0"/>
        <w:ind w:left="720" w:hanging="360"/>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highlight w:val="yellow"/>
          <w:rtl w:val="0"/>
        </w:rPr>
        <w:t xml:space="preserve">Basualdo Ale Marcos Luis</w:t>
      </w:r>
    </w:p>
    <w:p w:rsidR="00000000" w:rsidDel="00000000" w:rsidP="00000000" w:rsidRDefault="00000000" w:rsidRPr="00000000" w14:paraId="00000007">
      <w:pPr>
        <w:numPr>
          <w:ilvl w:val="0"/>
          <w:numId w:val="1"/>
        </w:numPr>
        <w:spacing w:after="0" w:afterAutospacing="0"/>
        <w:ind w:left="720" w:hanging="360"/>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highlight w:val="yellow"/>
          <w:rtl w:val="0"/>
        </w:rPr>
        <w:t xml:space="preserve">Cueva Alcalá Axel Andree</w:t>
      </w:r>
    </w:p>
    <w:p w:rsidR="00000000" w:rsidDel="00000000" w:rsidP="00000000" w:rsidRDefault="00000000" w:rsidRPr="00000000" w14:paraId="00000008">
      <w:pPr>
        <w:numPr>
          <w:ilvl w:val="0"/>
          <w:numId w:val="1"/>
        </w:numPr>
        <w:spacing w:after="0" w:afterAutospacing="0"/>
        <w:ind w:left="720" w:hanging="360"/>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highlight w:val="yellow"/>
          <w:rtl w:val="0"/>
        </w:rPr>
        <w:t xml:space="preserve">De la Cruz Meza Angel Luis Kallpa</w:t>
      </w:r>
    </w:p>
    <w:p w:rsidR="00000000" w:rsidDel="00000000" w:rsidP="00000000" w:rsidRDefault="00000000" w:rsidRPr="00000000" w14:paraId="00000009">
      <w:pPr>
        <w:numPr>
          <w:ilvl w:val="0"/>
          <w:numId w:val="1"/>
        </w:numPr>
        <w:spacing w:after="0" w:afterAutospacing="0"/>
        <w:ind w:left="720" w:hanging="360"/>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highlight w:val="yellow"/>
          <w:rtl w:val="0"/>
        </w:rPr>
        <w:t xml:space="preserve">Poma Gutierrez Gabriel</w:t>
      </w:r>
    </w:p>
    <w:p w:rsidR="00000000" w:rsidDel="00000000" w:rsidP="00000000" w:rsidRDefault="00000000" w:rsidRPr="00000000" w14:paraId="0000000A">
      <w:pPr>
        <w:numPr>
          <w:ilvl w:val="0"/>
          <w:numId w:val="1"/>
        </w:numPr>
        <w:ind w:left="720" w:hanging="360"/>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highlight w:val="yellow"/>
          <w:rtl w:val="0"/>
        </w:rPr>
        <w:t xml:space="preserve">Huanca Tapia Lita Nikole</w:t>
      </w:r>
    </w:p>
    <w:p w:rsidR="00000000" w:rsidDel="00000000" w:rsidP="00000000" w:rsidRDefault="00000000" w:rsidRPr="00000000" w14:paraId="0000000B">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highlight w:val="yellow"/>
          <w:rtl w:val="0"/>
        </w:rPr>
        <w:t xml:space="preserve">JP SAC.</w:t>
      </w:r>
    </w:p>
    <w:p w:rsidR="00000000" w:rsidDel="00000000" w:rsidP="00000000" w:rsidRDefault="00000000" w:rsidRPr="00000000" w14:paraId="0000000D">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C">
      <w:pPr>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b w:val="1"/>
          <w:bCs w:val="1"/>
          <w:i w:val="0"/>
          <w:iCs w:val="0"/>
          <w:smallCaps w:val="0"/>
          <w:strike w:val="0"/>
          <w:color w:val="000000"/>
          <w:sz w:val="22"/>
          <w:szCs w:val="22"/>
          <w:highlight w:val="cyan"/>
          <w:u w:val="none"/>
          <w:vertAlign w:val="baseline"/>
        </w:rPr>
      </w:pPr>
      <w:r w:rsidDel="00000000" w:rsidR="00000000" w:rsidRPr="00000000">
        <w:rPr>
          <w:rFonts w:ascii="Times New Roman" w:cs="Times New Roman" w:eastAsia="Times New Roman" w:hAnsi="Times New Roman"/>
          <w:b w:val="1"/>
          <w:bCs w:val="1"/>
          <w:rtl w:val="0"/>
        </w:rPr>
        <w:t xml:space="preserve">INTRODUCCIÓN</w:t>
      </w:r>
      <w:r w:rsidDel="00000000" w:rsidR="00000000" w:rsidRPr="00000000">
        <w:rPr>
          <w:rtl w:val="0"/>
        </w:rPr>
      </w:r>
    </w:p>
    <w:p w:rsidR="00000000" w:rsidDel="00000000" w:rsidP="00000000" w:rsidRDefault="00000000" w:rsidRPr="00000000" w14:paraId="0000001E">
      <w:pPr>
        <w:spacing w:after="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F">
      <w:pPr>
        <w:spacing w:after="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Situación de la empresa</w:t>
      </w:r>
    </w:p>
    <w:p w:rsidR="00000000" w:rsidDel="00000000" w:rsidP="00000000" w:rsidRDefault="00000000" w:rsidRPr="00000000" w14:paraId="00000020">
      <w:pPr>
        <w:spacing w:after="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1">
      <w:pPr>
        <w:spacing w:after="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Tiempo en el mercado</w:t>
      </w:r>
    </w:p>
    <w:p w:rsidR="00000000" w:rsidDel="00000000" w:rsidP="00000000" w:rsidRDefault="00000000" w:rsidRPr="00000000" w14:paraId="00000022">
      <w:pPr>
        <w:spacing w:after="0" w:lineRule="auto"/>
        <w:ind w:lef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3">
      <w:pPr>
        <w:spacing w:after="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JP S.A.C fue fundada en el año 2017. Se ha consolidado en el sector tecnológico del Perú como una consultora de software. A comparación de otras agencias, JP S.A.C entiende que el desarrollo de software no se detiene después de la entrega. </w:t>
      </w:r>
    </w:p>
    <w:p w:rsidR="00000000" w:rsidDel="00000000" w:rsidP="00000000" w:rsidRDefault="00000000" w:rsidRPr="00000000" w14:paraId="00000024">
      <w:pPr>
        <w:spacing w:after="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estos años, hemos elaborado un marco de trabajo basándonos en la norma NTP ISO/IEC 12207, lo que nos permite controlar la evolución de los sistemas que debemos administrar.</w:t>
      </w:r>
    </w:p>
    <w:p w:rsidR="00000000" w:rsidDel="00000000" w:rsidP="00000000" w:rsidRDefault="00000000" w:rsidRPr="00000000" w14:paraId="00000025">
      <w:pPr>
        <w:spacing w:after="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spacing w:after="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Proyectos en desarrollo y Sistemas en producción</w:t>
      </w:r>
    </w:p>
    <w:p w:rsidR="00000000" w:rsidDel="00000000" w:rsidP="00000000" w:rsidRDefault="00000000" w:rsidRPr="00000000" w14:paraId="00000027">
      <w:pPr>
        <w:spacing w:after="0" w:lineRule="auto"/>
        <w:ind w:lef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8">
      <w:pPr>
        <w:spacing w:after="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Nuestro portafolio de proyectos está dividido de manera estratégica, permitiéndonos tener una estabilidad en nuestros productos</w:t>
      </w:r>
    </w:p>
    <w:p w:rsidR="00000000" w:rsidDel="00000000" w:rsidP="00000000" w:rsidRDefault="00000000" w:rsidRPr="00000000" w14:paraId="00000029">
      <w:pPr>
        <w:spacing w:after="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spacing w:after="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gestión del código fuente de nuestra empresa está basado en un modelo de repositorio unificado. Cada uno de los proyectos, sea en desarrollo o mantenimiento, se encuentra alojado en GitHub, bajo la administración del lider del equipo asignado a su desarrollo, los miembros además cuentan con permisos de colaborador, permitiendo así que se puede realizar mantenimiento y corrección de errores.</w:t>
      </w:r>
    </w:p>
    <w:p w:rsidR="00000000" w:rsidDel="00000000" w:rsidP="00000000" w:rsidRDefault="00000000" w:rsidRPr="00000000" w14:paraId="0000002B">
      <w:pPr>
        <w:spacing w:after="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C">
      <w:pPr>
        <w:spacing w:after="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Proyectos en desarrollo:</w:t>
      </w:r>
    </w:p>
    <w:p w:rsidR="00000000" w:rsidDel="00000000" w:rsidP="00000000" w:rsidRDefault="00000000" w:rsidRPr="00000000" w14:paraId="0000002D">
      <w:pPr>
        <w:spacing w:after="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spacing w:after="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Actualmente estamos trabajando en cinco proyectos nuevos. Estos son SGRH, SGII, SRA, SIVE y SGPI. Estos proyectos se encuentran en las fases iniciales de análisis y definición de requisitos. Los detalles de cada proyecto son desarrollados en áreas privadas con el fin de que cada proyecto avance de forma independiente antes de establecer su primera versión.</w:t>
      </w:r>
    </w:p>
    <w:p w:rsidR="00000000" w:rsidDel="00000000" w:rsidP="00000000" w:rsidRDefault="00000000" w:rsidRPr="00000000" w14:paraId="0000002F">
      <w:pPr>
        <w:spacing w:after="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numPr>
          <w:ilvl w:val="0"/>
          <w:numId w:val="3"/>
        </w:numPr>
        <w:spacing w:after="0" w:lineRule="auto"/>
        <w:ind w:left="720" w:hanging="360"/>
        <w:rPr>
          <w:u w:val="none"/>
        </w:rPr>
      </w:pPr>
      <w:r w:rsidDel="00000000" w:rsidR="00000000" w:rsidRPr="00000000">
        <w:rPr>
          <w:rFonts w:ascii="Times New Roman" w:cs="Times New Roman" w:eastAsia="Times New Roman" w:hAnsi="Times New Roman"/>
          <w:b w:val="1"/>
          <w:bCs w:val="1"/>
          <w:rtl w:val="0"/>
        </w:rPr>
        <w:t xml:space="preserve">SGII - Sistema de Gestión de Incidencias (interno + piloto con AldaBank)</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1">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Módulo para registrar y resolver incidencias técnicas de clientes, con SLA configurable y notificaciones en tiempo real. Utiliza Vue.js 3, FastAPI y MySQL/Redis. El proyecto presenta un avance del 15% respecto al cronograma establecido, además cuenta con el modelo de datos aprobado y la arquitectura en la fase inicial. Un punto importante a resaltar es que AldaBank requiere integración SSO con OAuth 2.0, y se está evaluando RabbitMQ para manejar alertas masivas.</w:t>
      </w:r>
    </w:p>
    <w:p w:rsidR="00000000" w:rsidDel="00000000" w:rsidP="00000000" w:rsidRDefault="00000000" w:rsidRPr="00000000" w14:paraId="00000032">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sistema se encuentra en un repositorio de GitHub con acceso privado y control de versiones mediante Git, cualquier ajuste se visualiza en el historial de cambios siempre disponible.</w:t>
      </w:r>
    </w:p>
    <w:p w:rsidR="00000000" w:rsidDel="00000000" w:rsidP="00000000" w:rsidRDefault="00000000" w:rsidRPr="00000000" w14:paraId="00000033">
      <w:pPr>
        <w:numPr>
          <w:ilvl w:val="0"/>
          <w:numId w:val="3"/>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SRA - Sistema de Reportes y Analítica (Turismo Apocalipsis / Cordero SAC)</w:t>
      </w:r>
    </w:p>
    <w:p w:rsidR="00000000" w:rsidDel="00000000" w:rsidP="00000000" w:rsidRDefault="00000000" w:rsidRPr="00000000" w14:paraId="00000034">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Herramienta de dashboards e informes para toma de decisiones, integrando datos de varios sistemas. Angular 17, Spring Boot, PostgreSQL. A la fecha, se ha consolidado un 10% del desarrollo. El reto más grande resulta ser la migración de datos históricos desde 2019 desde sistemas legacy. De igual forma, la base del código se aloja en un repositorio privado de GitHub.</w:t>
      </w:r>
    </w:p>
    <w:p w:rsidR="00000000" w:rsidDel="00000000" w:rsidP="00000000" w:rsidRDefault="00000000" w:rsidRPr="00000000" w14:paraId="00000035">
      <w:pPr>
        <w:numPr>
          <w:ilvl w:val="0"/>
          <w:numId w:val="3"/>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SIVE - Sistema de Inventario y Ventas (Wanka's / Pios Chicken)</w:t>
      </w:r>
    </w:p>
    <w:p w:rsidR="00000000" w:rsidDel="00000000" w:rsidP="00000000" w:rsidRDefault="00000000" w:rsidRPr="00000000" w14:paraId="00000036">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de inventario y ventas, incluyendo punto de venta (POS). React, Next.js,  NestJS con GraphQL, y base de datos mixta: MongoDB para catálogo, PostgreSQL para transacciones. El progreso registrado hasta la fecha es del 15%, El prototipo de interfaz POS ya fue aprobado por Pios Chicken. La integración con la pasarela de pago Izipay está en evaluación.  Para este proyecto se dispone de un entorno de versiones en GitHub con acceso restringido.</w:t>
      </w:r>
    </w:p>
    <w:p w:rsidR="00000000" w:rsidDel="00000000" w:rsidP="00000000" w:rsidRDefault="00000000" w:rsidRPr="00000000" w14:paraId="00000037">
      <w:pPr>
        <w:numPr>
          <w:ilvl w:val="0"/>
          <w:numId w:val="3"/>
        </w:numPr>
        <w:spacing w:after="0" w:lineRule="auto"/>
        <w:ind w:left="720" w:hanging="360"/>
        <w:rPr>
          <w:b w:val="1"/>
          <w:bCs w:val="1"/>
          <w:u w:val="none"/>
        </w:rPr>
      </w:pPr>
      <w:r w:rsidDel="00000000" w:rsidR="00000000" w:rsidRPr="00000000">
        <w:rPr>
          <w:rFonts w:ascii="Times New Roman" w:cs="Times New Roman" w:eastAsia="Times New Roman" w:hAnsi="Times New Roman"/>
          <w:b w:val="1"/>
          <w:bCs w:val="1"/>
          <w:rtl w:val="0"/>
        </w:rPr>
        <w:t xml:space="preserve">SGPI - Sistema de Gestión de Proyectos de Investigación</w:t>
      </w:r>
      <w:r w:rsidDel="00000000" w:rsidR="00000000" w:rsidRPr="00000000">
        <w:rPr>
          <w:rFonts w:ascii="Times New Roman" w:cs="Times New Roman" w:eastAsia="Times New Roman" w:hAnsi="Times New Roman"/>
          <w:rtl w:val="0"/>
        </w:rPr>
        <w:t xml:space="preserve"> (FISI / uso interno) </w:t>
      </w:r>
    </w:p>
    <w:p w:rsidR="00000000" w:rsidDel="00000000" w:rsidP="00000000" w:rsidRDefault="00000000" w:rsidRPr="00000000" w14:paraId="00000038">
      <w:pPr>
        <w:spacing w:after="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Sistema para centralizar y automatizar la recopilación de datos sobre proyectos de investigación, docentes y publicaciones, que hoy se hace a mano extrayendo información de RAIS, VRIP, RENACYT y resoluciones en PDF para completar una base de datos en Excel. Este sistema incluirá detección automática de convocatorias, alertas de plazos y cruce de datos entre todas esas fuentes. La iniciativa registra un avance del 5%, situándose actualmente en la fase de análisis de requisitos. La definición del stack está condicionada por la validación de los permisos de acceso, ello constituye el riesgo más grande del proyecto. El sistema mencionado se encuentra en un repositorio privado de GitHub.</w:t>
      </w:r>
      <w:r w:rsidDel="00000000" w:rsidR="00000000" w:rsidRPr="00000000">
        <w:rPr>
          <w:rtl w:val="0"/>
        </w:rPr>
      </w:r>
    </w:p>
    <w:p w:rsidR="00000000" w:rsidDel="00000000" w:rsidP="00000000" w:rsidRDefault="00000000" w:rsidRPr="00000000" w14:paraId="00000039">
      <w:pPr>
        <w:numPr>
          <w:ilvl w:val="0"/>
          <w:numId w:val="7"/>
        </w:numPr>
        <w:spacing w:after="0" w:lineRule="auto"/>
        <w:ind w:left="720" w:hanging="360"/>
        <w:rPr>
          <w:u w:val="none"/>
        </w:rPr>
      </w:pPr>
      <w:r w:rsidDel="00000000" w:rsidR="00000000" w:rsidRPr="00000000">
        <w:rPr>
          <w:rFonts w:ascii="Times New Roman" w:cs="Times New Roman" w:eastAsia="Times New Roman" w:hAnsi="Times New Roman"/>
          <w:b w:val="1"/>
          <w:bCs w:val="1"/>
          <w:rtl w:val="0"/>
        </w:rPr>
        <w:t xml:space="preserve">SGRH - Sistema de Gestión de Recursos Humanos </w:t>
      </w:r>
      <w:r w:rsidDel="00000000" w:rsidR="00000000" w:rsidRPr="00000000">
        <w:rPr>
          <w:rFonts w:ascii="Times New Roman" w:cs="Times New Roman" w:eastAsia="Times New Roman" w:hAnsi="Times New Roman"/>
          <w:rtl w:val="0"/>
        </w:rPr>
        <w:t xml:space="preserve">(uso interno)</w:t>
      </w:r>
    </w:p>
    <w:p w:rsidR="00000000" w:rsidDel="00000000" w:rsidP="00000000" w:rsidRDefault="00000000" w:rsidRPr="00000000" w14:paraId="0000003A">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para centralizar el control de personal, asistencia, planillas y evaluaciones de desempeño de los colaboradores de JP S.A.C. Reemplaza el seguimiento manual en hojas de cálculo y correos. Este sistema cuenta con un repositorio de GitHub con acceso privado y control de versiones mediante Git.</w:t>
      </w:r>
    </w:p>
    <w:p w:rsidR="00000000" w:rsidDel="00000000" w:rsidP="00000000" w:rsidRDefault="00000000" w:rsidRPr="00000000" w14:paraId="0000003B">
      <w:pPr>
        <w:spacing w:after="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spacing w:after="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Sistemas en mantenimiento </w:t>
      </w:r>
    </w:p>
    <w:p w:rsidR="00000000" w:rsidDel="00000000" w:rsidP="00000000" w:rsidRDefault="00000000" w:rsidRPr="00000000" w14:paraId="0000003D">
      <w:pPr>
        <w:spacing w:after="0" w:lineRule="auto"/>
        <w:ind w:lef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Además de los proyectos en desarrollo, estamos a cargo de la administración de cinco sistemas críticos actualmente en funcionamiento. Estos sistemas requieren un mantenimiento constante. Nos enfocamos en solucionar errores y agregar nuevas funcionalidades. Cada cambio es registrado e informado para evitar errores técnicos en el futuro.</w:t>
      </w:r>
    </w:p>
    <w:p w:rsidR="00000000" w:rsidDel="00000000" w:rsidP="00000000" w:rsidRDefault="00000000" w:rsidRPr="00000000" w14:paraId="0000003F">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numPr>
          <w:ilvl w:val="0"/>
          <w:numId w:val="3"/>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SVC-ADB — Validación de Clientes (AldaBank)</w:t>
      </w:r>
    </w:p>
    <w:p w:rsidR="00000000" w:rsidDel="00000000" w:rsidP="00000000" w:rsidRDefault="00000000" w:rsidRPr="00000000" w14:paraId="00000041">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crítico de verificación de identidad, integrado con RENIEC y SBS. Angular 14, Spring Boot y Oracle 19c. Se resolvieron 2 bugs críticos en el último mes, y ya viene la v3.5.0 con módulo antifraude. El código se encuentra en un repositorio de GitHub con acceso privado y control de versiones mediante Git.</w:t>
      </w:r>
    </w:p>
    <w:p w:rsidR="00000000" w:rsidDel="00000000" w:rsidP="00000000" w:rsidRDefault="00000000" w:rsidRPr="00000000" w14:paraId="00000042">
      <w:pPr>
        <w:numPr>
          <w:ilvl w:val="0"/>
          <w:numId w:val="3"/>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SGR-TAP — Gestión de Reservas (Turismo Apocalipsis)</w:t>
      </w:r>
    </w:p>
    <w:p w:rsidR="00000000" w:rsidDel="00000000" w:rsidP="00000000" w:rsidRDefault="00000000" w:rsidRPr="00000000" w14:paraId="00000043">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de reservas online para tours. Java y MySQL. Está en producción pero con deuda técnica: la versión de Spring Boot utilizada quedó desactualizada y la migración a una versión moderna está en curso. Además, tienen integración pendiente con Culqi v2 para pagos. El flujo de trabajo y versionamiento se concentra en un repositorio de GitHub.</w:t>
      </w:r>
    </w:p>
    <w:p w:rsidR="00000000" w:rsidDel="00000000" w:rsidP="00000000" w:rsidRDefault="00000000" w:rsidRPr="00000000" w14:paraId="00000044">
      <w:pPr>
        <w:numPr>
          <w:ilvl w:val="0"/>
          <w:numId w:val="3"/>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SEI-CORD — Expedientes e Infraestructura (Cordero SAC)</w:t>
      </w:r>
    </w:p>
    <w:p w:rsidR="00000000" w:rsidDel="00000000" w:rsidP="00000000" w:rsidRDefault="00000000" w:rsidRPr="00000000" w14:paraId="00000045">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documental para gestionar mantenimientos, contratos y equipos. React 16, Node.js 16 y PostgreSQL. Aquí hay un problema similar: Node.js 16 ya está en EOL desde septiembre de 2023, y la actualización a v20 está aprobada pero pendiente. También tienen el módulo de reportes con rendimiento degradado, están optimizando queries. Este sistema cuenta con un respaldo y control de versiones basado en un repositorio restringido de GitHub.</w:t>
      </w:r>
    </w:p>
    <w:p w:rsidR="00000000" w:rsidDel="00000000" w:rsidP="00000000" w:rsidRDefault="00000000" w:rsidRPr="00000000" w14:paraId="00000046">
      <w:pPr>
        <w:numPr>
          <w:ilvl w:val="0"/>
          <w:numId w:val="3"/>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SECP-WNK — E-Commerce y Pedidos (Wanka's)</w:t>
      </w:r>
    </w:p>
    <w:p w:rsidR="00000000" w:rsidDel="00000000" w:rsidP="00000000" w:rsidRDefault="00000000" w:rsidRPr="00000000" w14:paraId="00000047">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Tienda online con tracking de envíos y panel admin. Next.js, NestJS, MongoDB y Redis. Está estable en v4.1.2. Disponibilidad del 99.7% en los últimos 6 meses. Ya funciona la integración con Meta Ads para remarketing, y viene un módulo de programa de puntos. Wanka’s se gestiona bajo una topología distribuida en GitHub.</w:t>
      </w:r>
    </w:p>
    <w:p w:rsidR="00000000" w:rsidDel="00000000" w:rsidP="00000000" w:rsidRDefault="00000000" w:rsidRPr="00000000" w14:paraId="00000048">
      <w:pPr>
        <w:numPr>
          <w:ilvl w:val="0"/>
          <w:numId w:val="3"/>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SGAC-PAU — Catálogo Musical (Pau Music)</w:t>
      </w:r>
    </w:p>
    <w:p w:rsidR="00000000" w:rsidDel="00000000" w:rsidP="00000000" w:rsidRDefault="00000000" w:rsidRPr="00000000" w14:paraId="00000049">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Catálogo digital de obras, artistas y contratos de distribución, con soporte para archivos de audio en alta calidad. React 17, FastAPI, Celery, PostgreSQL y MinIO. En v2.3.0, estable. Manejan 2.4 TB de audio con crecimiento de aproximadamente  80 GB/mes. El historial completo y código del sistema reside en  un repositorio privado de GitHub.</w:t>
      </w:r>
    </w:p>
    <w:p w:rsidR="00000000" w:rsidDel="00000000" w:rsidP="00000000" w:rsidRDefault="00000000" w:rsidRPr="00000000" w14:paraId="0000004A">
      <w:pPr>
        <w:spacing w:after="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spacing w:after="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Rubro y Perfil de clientes</w:t>
      </w:r>
    </w:p>
    <w:p w:rsidR="00000000" w:rsidDel="00000000" w:rsidP="00000000" w:rsidRDefault="00000000" w:rsidRPr="00000000" w14:paraId="0000004C">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Trabajamos en el área de Gestión de la Configuración de Software y en la actualización y modernización de sistemas importantes. Nuestros clientes son organizaciones que necesitan controlar su patrimonio digital. </w:t>
      </w:r>
    </w:p>
    <w:p w:rsidR="00000000" w:rsidDel="00000000" w:rsidP="00000000" w:rsidRDefault="00000000" w:rsidRPr="00000000" w14:paraId="0000004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 varios sectores que nos eligen, como:</w:t>
      </w:r>
    </w:p>
    <w:p w:rsidR="00000000" w:rsidDel="00000000" w:rsidP="00000000" w:rsidRDefault="00000000" w:rsidRPr="00000000" w14:paraId="0000004F">
      <w:pPr>
        <w:numPr>
          <w:ilvl w:val="0"/>
          <w:numId w:val="3"/>
        </w:numPr>
        <w:spacing w:after="0" w:lineRule="auto"/>
        <w:ind w:left="720" w:hanging="360"/>
        <w:rPr>
          <w:b w:val="1"/>
          <w:bCs w:val="1"/>
        </w:rPr>
      </w:pPr>
      <w:r w:rsidDel="00000000" w:rsidR="00000000" w:rsidRPr="00000000">
        <w:rPr>
          <w:rFonts w:ascii="Times New Roman" w:cs="Times New Roman" w:eastAsia="Times New Roman" w:hAnsi="Times New Roman"/>
          <w:b w:val="1"/>
          <w:bCs w:val="1"/>
          <w:rtl w:val="0"/>
        </w:rPr>
        <w:t xml:space="preserve">Sector Financiero, como AldaBank:</w:t>
      </w:r>
      <w:r w:rsidDel="00000000" w:rsidR="00000000" w:rsidRPr="00000000">
        <w:rPr>
          <w:rFonts w:ascii="Times New Roman" w:cs="Times New Roman" w:eastAsia="Times New Roman" w:hAnsi="Times New Roman"/>
          <w:rtl w:val="0"/>
        </w:rPr>
        <w:t xml:space="preserve"> estas instituciones necesitan que sus datos y versiones sean perfectos.</w:t>
      </w:r>
    </w:p>
    <w:p w:rsidR="00000000" w:rsidDel="00000000" w:rsidP="00000000" w:rsidRDefault="00000000" w:rsidRPr="00000000" w14:paraId="00000050">
      <w:pPr>
        <w:numPr>
          <w:ilvl w:val="0"/>
          <w:numId w:val="3"/>
        </w:numPr>
        <w:spacing w:after="0" w:lineRule="auto"/>
        <w:ind w:left="720" w:hanging="360"/>
        <w:rPr>
          <w:b w:val="1"/>
          <w:bCs w:val="1"/>
        </w:rPr>
      </w:pPr>
      <w:r w:rsidDel="00000000" w:rsidR="00000000" w:rsidRPr="00000000">
        <w:rPr>
          <w:rFonts w:ascii="Times New Roman" w:cs="Times New Roman" w:eastAsia="Times New Roman" w:hAnsi="Times New Roman"/>
          <w:b w:val="1"/>
          <w:bCs w:val="1"/>
          <w:rtl w:val="0"/>
        </w:rPr>
        <w:t xml:space="preserve">Servicios  e infraestructura, como Turismo Apocalipsis y Cordero SAC:</w:t>
      </w:r>
      <w:r w:rsidDel="00000000" w:rsidR="00000000" w:rsidRPr="00000000">
        <w:rPr>
          <w:rFonts w:ascii="Times New Roman" w:cs="Times New Roman" w:eastAsia="Times New Roman" w:hAnsi="Times New Roman"/>
          <w:rtl w:val="0"/>
        </w:rPr>
        <w:t xml:space="preserve"> estas empresas requieren que sus sistema estén disponibles todo el tiempo.</w:t>
      </w:r>
    </w:p>
    <w:p w:rsidR="00000000" w:rsidDel="00000000" w:rsidP="00000000" w:rsidRDefault="00000000" w:rsidRPr="00000000" w14:paraId="00000051">
      <w:pPr>
        <w:numPr>
          <w:ilvl w:val="0"/>
          <w:numId w:val="3"/>
        </w:numPr>
        <w:spacing w:after="0" w:lineRule="auto"/>
        <w:ind w:left="720" w:hanging="360"/>
        <w:rPr>
          <w:b w:val="1"/>
          <w:bCs w:val="1"/>
        </w:rPr>
      </w:pPr>
      <w:r w:rsidDel="00000000" w:rsidR="00000000" w:rsidRPr="00000000">
        <w:rPr>
          <w:rFonts w:ascii="Times New Roman" w:cs="Times New Roman" w:eastAsia="Times New Roman" w:hAnsi="Times New Roman"/>
          <w:b w:val="1"/>
          <w:bCs w:val="1"/>
          <w:rtl w:val="0"/>
        </w:rPr>
        <w:t xml:space="preserve">Educación y Consumo, como Wanka’s, Pios Chicken, Pau Music, Vera Borgoña: </w:t>
      </w:r>
      <w:r w:rsidDel="00000000" w:rsidR="00000000" w:rsidRPr="00000000">
        <w:rPr>
          <w:rFonts w:ascii="Times New Roman" w:cs="Times New Roman" w:eastAsia="Times New Roman" w:hAnsi="Times New Roman"/>
          <w:rtl w:val="0"/>
        </w:rPr>
        <w:t xml:space="preserve">estos clientes necesitan actualizar su sistema de forma rápida sin perder la calidad del software original.</w:t>
      </w:r>
      <w:r w:rsidDel="00000000" w:rsidR="00000000" w:rsidRPr="00000000">
        <w:rPr>
          <w:rtl w:val="0"/>
        </w:rPr>
      </w:r>
    </w:p>
    <w:p w:rsidR="00000000" w:rsidDel="00000000" w:rsidP="00000000" w:rsidRDefault="00000000" w:rsidRPr="00000000" w14:paraId="00000052">
      <w:pPr>
        <w:spacing w:after="0" w:lineRule="auto"/>
        <w:ind w:lef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3">
      <w:pPr>
        <w:spacing w:after="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 Problema del Control de Versiones</w:t>
      </w:r>
    </w:p>
    <w:p w:rsidR="00000000" w:rsidDel="00000000" w:rsidP="00000000" w:rsidRDefault="00000000" w:rsidRPr="00000000" w14:paraId="00000054">
      <w:pPr>
        <w:spacing w:after="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JP SAC ha tenido un crecimiento considerable a lo largo de los años, sin embargo, ello trajo consigo un problema en el proceso de desarrollo de software; mientras más grande era el equipo, mayor era el reto de hacer un desarrollo en paralelo.</w:t>
      </w:r>
    </w:p>
    <w:p w:rsidR="00000000" w:rsidDel="00000000" w:rsidP="00000000" w:rsidRDefault="00000000" w:rsidRPr="00000000" w14:paraId="00000056">
      <w:pPr>
        <w:spacing w:after="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Inicialmente, el proceso de desarrollo era variable dependiendo del equipo de desarrollo y el lider a cargo de este. Por ejemplo, a continuación, se aborda el problema a través de un caso real al que la empresa se enfrentó en sus primeros años; SEI-CORD. Al agregar a este sistema una funcionalidad de transcripción de audio de llamadas, se observó que el consumo de GPU era demasiado costoso para un constante uso por parte del cliente. La poca experiencia con el uso de herramientas de control de versiones, no permitió realizar un rollback a una versión previa a la adición de esta funcionalidad sin perder módulos cruciales ya aprobados. </w:t>
      </w:r>
    </w:p>
    <w:p w:rsidR="00000000" w:rsidDel="00000000" w:rsidP="00000000" w:rsidRDefault="00000000" w:rsidRPr="00000000" w14:paraId="00000057">
      <w:pPr>
        <w:spacing w:after="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Problemas como este se han ido suscitando, siendo estos de menor afectación al proyecto en desarrollo; pero aún así han sido determinantes para que JP SAC identifique que requiere un mayor uso de herramientas que permitan el versionado de sus proyectos.</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 Objetivo</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implementación de un Plan de Gestión de Configuración de Software en JP S.A.C., busca garantizar la escalabilidad del negocio y la continuidad operativa. Ello se justifica en tres puntos clave:</w:t>
      </w:r>
    </w:p>
    <w:p w:rsidR="00000000" w:rsidDel="00000000" w:rsidP="00000000" w:rsidRDefault="00000000" w:rsidRPr="00000000" w14:paraId="0000005C">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numPr>
          <w:ilvl w:val="0"/>
          <w:numId w:val="2"/>
        </w:numPr>
        <w:spacing w:after="0" w:lineRule="auto"/>
        <w:ind w:left="720" w:hanging="360"/>
        <w:rPr>
          <w:u w:val="none"/>
        </w:rPr>
      </w:pPr>
      <w:r w:rsidDel="00000000" w:rsidR="00000000" w:rsidRPr="00000000">
        <w:rPr>
          <w:rFonts w:ascii="Times New Roman" w:cs="Times New Roman" w:eastAsia="Times New Roman" w:hAnsi="Times New Roman"/>
          <w:b w:val="1"/>
          <w:bCs w:val="1"/>
          <w:rtl w:val="0"/>
        </w:rPr>
        <w:t xml:space="preserve">Mitigación de riesgos y recuperación ante desastres.</w:t>
      </w:r>
      <w:r w:rsidDel="00000000" w:rsidR="00000000" w:rsidRPr="00000000">
        <w:rPr>
          <w:rFonts w:ascii="Times New Roman" w:cs="Times New Roman" w:eastAsia="Times New Roman" w:hAnsi="Times New Roman"/>
          <w:rtl w:val="0"/>
        </w:rPr>
        <w:t xml:space="preserve"> El incidente con el sistema SEI-CORD, evidencia esta vulnerabilidad crítica. Se busca revertir cambios costosos o fallidos sin llegar a afectar el progreso que ya fue aprobado.</w:t>
      </w:r>
    </w:p>
    <w:p w:rsidR="00000000" w:rsidDel="00000000" w:rsidP="00000000" w:rsidRDefault="00000000" w:rsidRPr="00000000" w14:paraId="0000005E">
      <w:pPr>
        <w:numPr>
          <w:ilvl w:val="0"/>
          <w:numId w:val="2"/>
        </w:numPr>
        <w:spacing w:after="0" w:lineRule="auto"/>
        <w:ind w:left="720" w:hanging="360"/>
        <w:rPr>
          <w:u w:val="none"/>
        </w:rPr>
      </w:pPr>
      <w:r w:rsidDel="00000000" w:rsidR="00000000" w:rsidRPr="00000000">
        <w:rPr>
          <w:rFonts w:ascii="Times New Roman" w:cs="Times New Roman" w:eastAsia="Times New Roman" w:hAnsi="Times New Roman"/>
          <w:b w:val="1"/>
          <w:bCs w:val="1"/>
          <w:rtl w:val="0"/>
        </w:rPr>
        <w:t xml:space="preserve">Integridad del patrimonio digital en entornos multi cliente.</w:t>
      </w:r>
      <w:r w:rsidDel="00000000" w:rsidR="00000000" w:rsidRPr="00000000">
        <w:rPr>
          <w:rFonts w:ascii="Times New Roman" w:cs="Times New Roman" w:eastAsia="Times New Roman" w:hAnsi="Times New Roman"/>
          <w:rtl w:val="0"/>
        </w:rPr>
        <w:t xml:space="preserve"> Con un portafolio que abarca desde finanzas hasta sistemas más pequeños (música o negocios), JP S.A.C. maneja configuraciones críticas y datos sensibles de clientes. La falta de control de versiones supone mucho riesgo en la trazabilidad . La gestión de Configuración garantiza que las versiones entregadas sea auditable y reproducible.</w:t>
      </w:r>
    </w:p>
    <w:p w:rsidR="00000000" w:rsidDel="00000000" w:rsidP="00000000" w:rsidRDefault="00000000" w:rsidRPr="00000000" w14:paraId="0000005F">
      <w:pPr>
        <w:numPr>
          <w:ilvl w:val="0"/>
          <w:numId w:val="2"/>
        </w:numPr>
        <w:spacing w:after="0" w:lineRule="auto"/>
        <w:ind w:left="720" w:hanging="360"/>
        <w:rPr>
          <w:u w:val="none"/>
        </w:rPr>
      </w:pPr>
      <w:r w:rsidDel="00000000" w:rsidR="00000000" w:rsidRPr="00000000">
        <w:rPr>
          <w:rFonts w:ascii="Times New Roman" w:cs="Times New Roman" w:eastAsia="Times New Roman" w:hAnsi="Times New Roman"/>
          <w:b w:val="1"/>
          <w:bCs w:val="1"/>
          <w:rtl w:val="0"/>
        </w:rPr>
        <w:t xml:space="preserve">Soporte a la modernización y la deuda técnica. </w:t>
      </w:r>
      <w:r w:rsidDel="00000000" w:rsidR="00000000" w:rsidRPr="00000000">
        <w:rPr>
          <w:rFonts w:ascii="Times New Roman" w:cs="Times New Roman" w:eastAsia="Times New Roman" w:hAnsi="Times New Roman"/>
          <w:rtl w:val="0"/>
        </w:rPr>
        <w:t xml:space="preserve">Sin un plan de gestión, el riesgo de insertar errores a funciones que ya sirven durante una migración o modernización es muy alto. El plan permitirá gestionar cambios ya sea a infraestructura o código de manera más simultánea.</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Beneficios </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propone implementar este Plan de Gestión de la Configuración porque el propio crecimiento de JP SAC nos ha demostrado que ya no podemos depender de la forma en que cada líder de equipo decida llevar sus desarrollos. A medida que el equipo se hace más grande y se manejan más proyectos en paralelo, el desorden pasa factura.</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El principal beneficio que buscamos es contar con una red de seguridad real para nuestro código. No queremos volver a pasar por el estrés que vivimos en las fases finales del proyecto SEI-CORD. Este plan nos dará la tranquilidad de que nuestros cinco proyectos nuevos puedan avanzar de forma independiente sin que los equipos se pisen entre sí. Al mismo tiempo, nos permite darle mantenimiento constante a los sistemas que ya están operando, garantizando a clientes fuertes como AldaBank y Turismo Apocalipsis y asegurándoles que sus plataformas van a seguir funcionando sin sorpresas.</w:t>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Times New Roman" w:cs="Times New Roman" w:eastAsia="Times New Roman" w:hAnsi="Times New Roman"/>
          <w:b w:val="1"/>
          <w:bCs w:val="1"/>
          <w:i w:val="0"/>
          <w:iCs w:val="0"/>
          <w:smallCaps w:val="0"/>
          <w:strike w:val="0"/>
          <w:color w:val="000000"/>
          <w:sz w:val="22"/>
          <w:szCs w:val="22"/>
          <w:highlight w:val="yellow"/>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highlight w:val="yellow"/>
          <w:u w:val="none"/>
          <w:vertAlign w:val="baseline"/>
          <w:rtl w:val="0"/>
        </w:rPr>
        <w:t xml:space="preserve"> Roles y Responsabilidades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asegurar la implementación efectiva del Plan de Gestión de Configuración (PGC), es crucial establecer los roles y responsabilidades. A continuación, se detallan los roles clave necesarios para la administración de la configuración del software, incluyendo la cantidad requerida de personal para cada uno y sus responsabilidades principales.</w:t>
      </w:r>
    </w:p>
    <w:sdt>
      <w:sdtPr>
        <w:lock w:val="contentLocked"/>
        <w:id w:val="-1911951915"/>
        <w:tag w:val="goog_rdk_0"/>
      </w:sdtPr>
      <w:sdtContent>
        <w:tbl>
          <w:tblPr>
            <w:tblStyle w:val="Table1"/>
            <w:tblW w:w="8415.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15"/>
            <w:gridCol w:w="2715"/>
            <w:gridCol w:w="2985"/>
            <w:tblGridChange w:id="0">
              <w:tblGrid>
                <w:gridCol w:w="2715"/>
                <w:gridCol w:w="2715"/>
                <w:gridCol w:w="2985"/>
              </w:tblGrid>
            </w:tblGridChange>
          </w:tblGrid>
          <w:tr>
            <w:trPr>
              <w:cantSplit w:val="0"/>
              <w:trHeight w:val="493.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Roles</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Cantidad</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Gestor de la Configuración del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encarga de que todo el sistema de trabajo esté organizado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Asistente de </w:t>
                </w:r>
                <w:r w:rsidDel="00000000" w:rsidR="00000000" w:rsidRPr="00000000">
                  <w:rPr>
                    <w:rFonts w:ascii="Times New Roman" w:cs="Times New Roman" w:eastAsia="Times New Roman" w:hAnsi="Times New Roman"/>
                    <w:rtl w:val="0"/>
                  </w:rPr>
                  <w:t xml:space="preserve">Control de Cambios</w:t>
                </w:r>
                <w:r w:rsidDel="00000000" w:rsidR="00000000" w:rsidRPr="00000000">
                  <w:rPr>
                    <w:rFonts w:ascii="Times New Roman" w:cs="Times New Roman" w:eastAsia="Times New Roman" w:hAnsi="Times New Roman"/>
                    <w:rtl w:val="0"/>
                  </w:rPr>
                  <w:t xml:space="preserve"> y Entregas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Analiza cada petición de cambio y se asegura de que el software llegue correctamente al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Responsable de Informes y Estado de GCS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 reportes de estado de los ítems de configuración para dirección y clientes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Auditor de Configuración de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Revisa que lo escrito en documentos coincida con lo construido detectando errores</w:t>
                </w:r>
              </w:p>
            </w:tc>
          </w:tr>
        </w:tbl>
      </w:sdtContent>
    </w:sdt>
    <w:p w:rsidR="00000000" w:rsidDel="00000000" w:rsidP="00000000" w:rsidRDefault="00000000" w:rsidRPr="00000000" w14:paraId="0000007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Tabla 1. Roles y Responsabilidades del PGC</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Times New Roman" w:cs="Times New Roman" w:eastAsia="Times New Roman" w:hAnsi="Times New Roman"/>
          <w:b w:val="1"/>
          <w:bCs w:val="1"/>
          <w:i w:val="0"/>
          <w:iCs w:val="0"/>
          <w:smallCaps w:val="0"/>
          <w:strike w:val="0"/>
          <w:color w:val="000000"/>
          <w:sz w:val="22"/>
          <w:szCs w:val="22"/>
          <w:highlight w:val="yellow"/>
          <w:vertAlign w:val="baseline"/>
        </w:rPr>
      </w:pPr>
      <w:r w:rsidDel="00000000" w:rsidR="00000000" w:rsidRPr="00000000">
        <w:rPr>
          <w:rFonts w:ascii="Times New Roman" w:cs="Times New Roman" w:eastAsia="Times New Roman" w:hAnsi="Times New Roman"/>
          <w:b w:val="1"/>
          <w:bCs w:val="1"/>
          <w:highlight w:val="yellow"/>
          <w:rtl w:val="0"/>
        </w:rPr>
        <w:t xml:space="preserve">Benchmarking</w:t>
      </w:r>
      <w:r w:rsidDel="00000000" w:rsidR="00000000" w:rsidRPr="00000000">
        <w:rPr>
          <w:rFonts w:ascii="Times New Roman" w:cs="Times New Roman" w:eastAsia="Times New Roman" w:hAnsi="Times New Roman"/>
          <w:b w:val="1"/>
          <w:bCs w:val="1"/>
          <w:i w:val="0"/>
          <w:iCs w:val="0"/>
          <w:smallCaps w:val="0"/>
          <w:strike w:val="0"/>
          <w:color w:val="000000"/>
          <w:sz w:val="22"/>
          <w:szCs w:val="22"/>
          <w:highlight w:val="yellow"/>
          <w:u w:val="none"/>
          <w:vertAlign w:val="baseline"/>
          <w:rtl w:val="0"/>
        </w:rPr>
        <w:t xml:space="preserve"> de Herramientas de control de versiones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spacing w:after="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parte del análisis para seleccionar la herramienta más adecuada, se presenta una breve descripción de las principales plataformas de control de versiones evaluadas. Cada una ofrece un ecosistema particular para la colaboración y gestión del ciclo de vida del software.</w:t>
      </w:r>
    </w:p>
    <w:sdt>
      <w:sdtPr>
        <w:lock w:val="contentLocked"/>
        <w:id w:val="-1429478336"/>
        <w:tag w:val="goog_rdk_1"/>
      </w:sdtPr>
      <w:sdtContent>
        <w:tbl>
          <w:tblPr>
            <w:tblStyle w:val="Table2"/>
            <w:tblW w:w="8205.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5790"/>
            <w:tblGridChange w:id="0">
              <w:tblGrid>
                <w:gridCol w:w="2415"/>
                <w:gridCol w:w="57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Herramientas</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es el ecosistema de colaboración más grande del mundo. Almacén de código basado en Git, funciona como un espacio integral donde equipos gestionan proyectos extremo a extremo. (GitHub Inc., 2024)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GitLab</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integral </w:t>
                </w:r>
                <w:r w:rsidDel="00000000" w:rsidR="00000000" w:rsidRPr="00000000">
                  <w:rPr>
                    <w:rFonts w:ascii="Times New Roman" w:cs="Times New Roman" w:eastAsia="Times New Roman" w:hAnsi="Times New Roman"/>
                    <w:rtl w:val="0"/>
                  </w:rPr>
                  <w:t xml:space="preserve">de DevSecOps</w:t>
                </w:r>
                <w:r w:rsidDel="00000000" w:rsidR="00000000" w:rsidRPr="00000000">
                  <w:rPr>
                    <w:rFonts w:ascii="Times New Roman" w:cs="Times New Roman" w:eastAsia="Times New Roman" w:hAnsi="Times New Roman"/>
                    <w:rtl w:val="0"/>
                  </w:rPr>
                  <w:t xml:space="preserve">, cubre todo el ciclo de vida del desarrollo de software. Integra capacidades de automatización (CI/CD) y un fuerte enfoque en la seguridad. Además, tiene opciones de usarse en la nube o de ser auto-hospedado. (GitLab Inc., 2024)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Bitbucket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 de repositorio Git de Atlassian. Integración nativa con Jira y Trello, permisos de rama avanzados, pipelines CI/CD integradas y soporte SSO con aut2.0. Disponible en versiones cloud y Data Center. (Atlassian, 2024)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Azure DevOps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Suite completa de herramientas DevOps de Microsoft que incluye Azure Repos, Azure Pipelines, Azure Boards para gestión ágil y Azure Artifacts. Ofrece seguridad y cumplimiento normativo con integración profunda al ecosistema Azure. (Microsoft, 2024) </w:t>
                </w:r>
              </w:p>
            </w:tc>
          </w:tr>
        </w:tbl>
      </w:sdtContent>
    </w:sdt>
    <w:p w:rsidR="00000000" w:rsidDel="00000000" w:rsidP="00000000" w:rsidRDefault="00000000" w:rsidRPr="00000000" w14:paraId="0000008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Tabla 2. Descripción de Herramientas de Control de Versiones</w:t>
      </w:r>
      <w:r w:rsidDel="00000000" w:rsidR="00000000" w:rsidRPr="00000000">
        <w:rPr>
          <w:rtl w:val="0"/>
        </w:rPr>
      </w:r>
    </w:p>
    <w:p w:rsidR="00000000" w:rsidDel="00000000" w:rsidP="00000000" w:rsidRDefault="00000000" w:rsidRPr="00000000" w14:paraId="0000008B">
      <w:pPr>
        <w:spacing w:after="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spacing w:after="0"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CRITERIOS para evaluar las herramientas</w:t>
      </w:r>
    </w:p>
    <w:p w:rsidR="00000000" w:rsidDel="00000000" w:rsidP="00000000" w:rsidRDefault="00000000" w:rsidRPr="00000000" w14:paraId="0000008D">
      <w:pPr>
        <w:numPr>
          <w:ilvl w:val="0"/>
          <w:numId w:val="9"/>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 Integración CI/CD</w:t>
      </w:r>
    </w:p>
    <w:p w:rsidR="00000000" w:rsidDel="00000000" w:rsidP="00000000" w:rsidRDefault="00000000" w:rsidRPr="00000000" w14:paraId="0000008E">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criterio es importante para automatizar el ciclo de vida de proyectos, permitiendo que las nuevas funciones se integren y desplieguen sin errores manuales. Asegura que la calidad del software se mantenga mientras el equipo crece y los desarrollos se vuelven complejos.</w:t>
      </w:r>
    </w:p>
    <w:p w:rsidR="00000000" w:rsidDel="00000000" w:rsidP="00000000" w:rsidRDefault="00000000" w:rsidRPr="00000000" w14:paraId="0000008F">
      <w:pPr>
        <w:numPr>
          <w:ilvl w:val="0"/>
          <w:numId w:val="9"/>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T2 Gestión de ramas y rollback</w:t>
      </w:r>
    </w:p>
    <w:p w:rsidR="00000000" w:rsidDel="00000000" w:rsidP="00000000" w:rsidRDefault="00000000" w:rsidRPr="00000000" w14:paraId="00000090">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Tras incidentes donde no se pudo revertir un cambio costoso sin perder avances aprobados, esta capacidad es una prioridad operativa. Permiten que los cinco proyectos en desarrollo avancen de forma independiente.</w:t>
      </w:r>
    </w:p>
    <w:p w:rsidR="00000000" w:rsidDel="00000000" w:rsidP="00000000" w:rsidRDefault="00000000" w:rsidRPr="00000000" w14:paraId="00000091">
      <w:pPr>
        <w:numPr>
          <w:ilvl w:val="0"/>
          <w:numId w:val="9"/>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T3 Seguridad y control de acceso</w:t>
      </w:r>
    </w:p>
    <w:p w:rsidR="00000000" w:rsidDel="00000000" w:rsidP="00000000" w:rsidRDefault="00000000" w:rsidRPr="00000000" w14:paraId="00000092">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Responde a la necesidad de proteger datos sensibles de clientes y es fundamental para gestionar integraciones críticas y cumplir con las exigencias de seguridad del sector financiero y de infraestructura.</w:t>
      </w:r>
    </w:p>
    <w:p w:rsidR="00000000" w:rsidDel="00000000" w:rsidP="00000000" w:rsidRDefault="00000000" w:rsidRPr="00000000" w14:paraId="00000093">
      <w:pPr>
        <w:numPr>
          <w:ilvl w:val="0"/>
          <w:numId w:val="9"/>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T4 Colaboración multi-proyecto</w:t>
      </w:r>
    </w:p>
    <w:p w:rsidR="00000000" w:rsidDel="00000000" w:rsidP="00000000" w:rsidRDefault="00000000" w:rsidRPr="00000000" w14:paraId="00000094">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herramienta debe permitir que los equipos trabajen en paralelo sin interferencias. Facilita la administración centralizada de diversos repositorios bajo un modelo unificado en la empresa</w:t>
      </w:r>
    </w:p>
    <w:p w:rsidR="00000000" w:rsidDel="00000000" w:rsidP="00000000" w:rsidRDefault="00000000" w:rsidRPr="00000000" w14:paraId="00000095">
      <w:pPr>
        <w:numPr>
          <w:ilvl w:val="0"/>
          <w:numId w:val="9"/>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T5 Costo / escalabilidad</w:t>
      </w:r>
    </w:p>
    <w:p w:rsidR="00000000" w:rsidDel="00000000" w:rsidP="00000000" w:rsidRDefault="00000000" w:rsidRPr="00000000" w14:paraId="00000096">
      <w:pPr>
        <w:spacing w:after="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criterio busca que la infraestructura de gestión soporte el crecimiento del equipo y del volumen de datos. Clave para proyectos que manejan grandes volúmenes de información.</w:t>
      </w:r>
    </w:p>
    <w:p w:rsidR="00000000" w:rsidDel="00000000" w:rsidP="00000000" w:rsidRDefault="00000000" w:rsidRPr="00000000" w14:paraId="00000097">
      <w:pPr>
        <w:spacing w:after="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spacing w:after="0" w:lineRule="auto"/>
        <w:ind w:left="36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9">
      <w:pPr>
        <w:spacing w:after="0" w:lineRule="auto"/>
        <w:ind w:left="36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A">
      <w:pPr>
        <w:spacing w:after="0" w:lineRule="auto"/>
        <w:ind w:left="360" w:firstLine="0"/>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b w:val="1"/>
          <w:bCs w:val="1"/>
          <w:rtl w:val="0"/>
        </w:rPr>
        <w:t xml:space="preserve">Análisis de criterios con</w:t>
      </w:r>
      <w:r w:rsidDel="00000000" w:rsidR="00000000" w:rsidRPr="00000000">
        <w:rPr>
          <w:rFonts w:ascii="Times New Roman" w:cs="Times New Roman" w:eastAsia="Times New Roman" w:hAnsi="Times New Roman"/>
          <w:b w:val="1"/>
          <w:bCs w:val="1"/>
          <w:highlight w:val="yellow"/>
          <w:rtl w:val="0"/>
        </w:rPr>
        <w:t xml:space="preserve"> matriz de confrontación </w:t>
      </w:r>
      <w:r w:rsidDel="00000000" w:rsidR="00000000" w:rsidRPr="00000000">
        <w:rPr>
          <w:rtl w:val="0"/>
        </w:rPr>
      </w:r>
    </w:p>
    <w:p w:rsidR="00000000" w:rsidDel="00000000" w:rsidP="00000000" w:rsidRDefault="00000000" w:rsidRPr="00000000" w14:paraId="0000009B">
      <w:pPr>
        <w:spacing w:after="0" w:lineRule="auto"/>
        <w:ind w:left="36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9C">
      <w:pPr>
        <w:spacing w:after="0" w:lineRule="auto"/>
        <w:ind w:left="360" w:firstLine="0"/>
        <w:jc w:val="center"/>
        <w:rPr>
          <w:rFonts w:ascii="Times New Roman" w:cs="Times New Roman" w:eastAsia="Times New Roman" w:hAnsi="Times New Roman"/>
          <w:sz w:val="20"/>
          <w:szCs w:val="20"/>
          <w:highlight w:val="yellow"/>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siguiente matriz de confrontación es utilizada para asignar pesos porcentuales a los criterios de evaluación. El análisis por pares permite identificar qué criterios (T1 a T5) son más importantes para JP S.A.C., siendo un paso fundamental para la posterior selección de la herramienta de control de versiones.</w:t>
      </w:r>
    </w:p>
    <w:sdt>
      <w:sdtPr>
        <w:lock w:val="contentLocked"/>
        <w:id w:val="-1255330715"/>
        <w:tag w:val="goog_rdk_2"/>
      </w:sdtPr>
      <w:sdtContent>
        <w:tbl>
          <w:tblPr>
            <w:tblStyle w:val="Table3"/>
            <w:tblW w:w="8144.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8"/>
            <w:gridCol w:w="1018"/>
            <w:gridCol w:w="1018"/>
            <w:gridCol w:w="1018"/>
            <w:gridCol w:w="1018"/>
            <w:gridCol w:w="1018"/>
            <w:gridCol w:w="1018"/>
            <w:gridCol w:w="1018"/>
            <w:tblGridChange w:id="0">
              <w:tblGrid>
                <w:gridCol w:w="1018"/>
                <w:gridCol w:w="1018"/>
                <w:gridCol w:w="1018"/>
                <w:gridCol w:w="1018"/>
                <w:gridCol w:w="1018"/>
                <w:gridCol w:w="1018"/>
                <w:gridCol w:w="1018"/>
                <w:gridCol w:w="1018"/>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Criterio</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T2</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T3</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T4</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T5</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Peso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rHeight w:val="463.55468749999994" w:hRule="atLeast"/>
              <w:tblHeader w:val="0"/>
            </w:trPr>
            <w:tc>
              <w:tcPr>
                <w:gridSpan w:val="6"/>
                <w:shd w:fill="c9daf8"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w:t>
                </w:r>
              </w:p>
            </w:tc>
          </w:tr>
        </w:tbl>
      </w:sdtContent>
    </w:sdt>
    <w:p w:rsidR="00000000" w:rsidDel="00000000" w:rsidP="00000000" w:rsidRDefault="00000000" w:rsidRPr="00000000" w14:paraId="000000D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Tabla 3. Matriz de Confrontación de Criterios</w:t>
      </w:r>
      <w:r w:rsidDel="00000000" w:rsidR="00000000" w:rsidRPr="00000000">
        <w:rPr>
          <w:rtl w:val="0"/>
        </w:rPr>
      </w:r>
    </w:p>
    <w:p w:rsidR="00000000" w:rsidDel="00000000" w:rsidP="00000000" w:rsidRDefault="00000000" w:rsidRPr="00000000" w14:paraId="000000D7">
      <w:pPr>
        <w:spacing w:after="0" w:lineRule="auto"/>
        <w:ind w:left="36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D8">
      <w:pPr>
        <w:spacing w:after="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spacing w:after="0"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Resultados de analisis </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B">
      <w:pPr>
        <w:spacing w:after="0"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matriz de confrontación nos dice que la seguridad y el control de acceso (T3) es el criterio más determinante con un peso del 40% puesto que JP S.A.C. gestiona sistemas críticos para clientes del sector financiero como AldaBank y plataformas con datos sensibles de múltiples industrias. En segundo lugar, la gestión de ramas y capacidad de rollback (T2) con un 30%, puesto que en ocasiones la ausencia de una estrategia de ramas impidió revertir cambios costosos sin perder avances aprobados. En base a estos pesos, GitHub es la herramienta más alineada a la empresa, ganando con un puntaje de 5,00 según la Tabla II al obtener los puntos máximos en los 3 criterios de mayor peso, ya que esta herramienta ofrece un ecosistema de integraciones más amplio, políticas de ramas granulares, soporte OAuth 2.0 nativo e infraestructura CI/CD mediante GitHub Actions.</w:t>
      </w:r>
    </w:p>
    <w:p w:rsidR="00000000" w:rsidDel="00000000" w:rsidP="00000000" w:rsidRDefault="00000000" w:rsidRPr="00000000" w14:paraId="000000DC">
      <w:pPr>
        <w:spacing w:after="0" w:lineRule="auto"/>
        <w:ind w:left="36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spacing w:after="0" w:lineRule="auto"/>
        <w:ind w:left="36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spacing w:after="0" w:lineRule="auto"/>
        <w:ind w:left="36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criterios evaluados en la Matriz de Confrontación (Tabla 3) son aplicados a las herramientas de control de versiones (Tabla 2). A continuación, la matriz de benchmarking muestra los puntajes (S: Puntaje, A: Resultado Ponderado) obtenidos por cada herramienta, lo que permite determinar la solución más alineada con los requisitos de seguridad y operatividad de JP S.A.C.</w:t>
      </w:r>
    </w:p>
    <w:sdt>
      <w:sdtPr>
        <w:lock w:val="contentLocked"/>
        <w:id w:val="-1316914928"/>
        <w:tag w:val="goog_rdk_3"/>
      </w:sdtPr>
      <w:sdtContent>
        <w:tbl>
          <w:tblPr>
            <w:tblStyle w:val="Table4"/>
            <w:tblW w:w="795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810"/>
            <w:gridCol w:w="705"/>
            <w:gridCol w:w="705"/>
            <w:gridCol w:w="765"/>
            <w:gridCol w:w="795"/>
            <w:gridCol w:w="795"/>
            <w:gridCol w:w="795"/>
            <w:gridCol w:w="795"/>
            <w:gridCol w:w="795"/>
            <w:tblGridChange w:id="0">
              <w:tblGrid>
                <w:gridCol w:w="990"/>
                <w:gridCol w:w="810"/>
                <w:gridCol w:w="705"/>
                <w:gridCol w:w="705"/>
                <w:gridCol w:w="765"/>
                <w:gridCol w:w="795"/>
                <w:gridCol w:w="795"/>
                <w:gridCol w:w="795"/>
                <w:gridCol w:w="795"/>
                <w:gridCol w:w="795"/>
              </w:tblGrid>
            </w:tblGridChange>
          </w:tblGrid>
          <w:tr>
            <w:trPr>
              <w:cantSplit w:val="0"/>
              <w:trHeight w:val="420" w:hRule="atLeast"/>
              <w:tblHeader w:val="0"/>
            </w:trPr>
            <w:tc>
              <w:tcPr>
                <w:vMerge w:val="restart"/>
                <w:shd w:fill="c9daf8"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Criterio</w:t>
                </w:r>
              </w:p>
            </w:tc>
            <w:tc>
              <w:tcPr>
                <w:vMerge w:val="restart"/>
                <w:shd w:fill="c9daf8"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Peso</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w:t>
                </w:r>
              </w:p>
            </w:tc>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GitLab</w:t>
                </w:r>
              </w:p>
            </w:tc>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Bitbucket</w:t>
                </w:r>
              </w:p>
            </w:tc>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Azure DevOps</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rHeight w:val="420" w:hRule="atLeast"/>
              <w:tblHeader w:val="0"/>
            </w:trPr>
            <w:tc>
              <w:tcPr>
                <w:vMerge w:val="continue"/>
                <w:shd w:fill="c9daf8"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vMerge w:val="continue"/>
                <w:shd w:fill="c9daf8"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0,80</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0,90</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0,30</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w:t>
                </w:r>
              </w:p>
            </w:tc>
          </w:tr>
          <w:tr>
            <w:trPr>
              <w:cantSplit w:val="0"/>
              <w:trHeight w:val="463.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4,40</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3,30</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3,60</w:t>
                </w:r>
              </w:p>
            </w:tc>
          </w:tr>
        </w:tbl>
      </w:sdtContent>
    </w:sdt>
    <w:p w:rsidR="00000000" w:rsidDel="00000000" w:rsidP="00000000" w:rsidRDefault="00000000" w:rsidRPr="00000000" w14:paraId="0000013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Tabla 4. Benchmarking de Herramientas de Control de Versiones (Resultados Ponderados)</w:t>
      </w:r>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Actividades de la GCS</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2"/>
          <w:szCs w:val="22"/>
          <w:highlight w:val="yellow"/>
          <w:vertAlign w:val="baseline"/>
        </w:rPr>
      </w:pPr>
      <w:r w:rsidDel="00000000" w:rsidR="00000000" w:rsidRPr="00000000">
        <w:rPr>
          <w:rFonts w:ascii="Times New Roman" w:cs="Times New Roman" w:eastAsia="Times New Roman" w:hAnsi="Times New Roman"/>
          <w:b w:val="1"/>
          <w:bCs w:val="1"/>
          <w:highlight w:val="yellow"/>
          <w:rtl w:val="0"/>
        </w:rPr>
        <w:t xml:space="preserve">Identificación</w:t>
      </w:r>
      <w:r w:rsidDel="00000000" w:rsidR="00000000" w:rsidRPr="00000000">
        <w:rPr>
          <w:rFonts w:ascii="Times New Roman" w:cs="Times New Roman" w:eastAsia="Times New Roman" w:hAnsi="Times New Roman"/>
          <w:b w:val="1"/>
          <w:bCs w:val="1"/>
          <w:i w:val="0"/>
          <w:iCs w:val="0"/>
          <w:smallCaps w:val="0"/>
          <w:strike w:val="0"/>
          <w:color w:val="000000"/>
          <w:sz w:val="22"/>
          <w:szCs w:val="22"/>
          <w:highlight w:val="yellow"/>
          <w:u w:val="none"/>
          <w:vertAlign w:val="baseline"/>
          <w:rtl w:val="0"/>
        </w:rPr>
        <w:t xml:space="preserve"> de la GCS</w:t>
      </w:r>
    </w:p>
    <w:p w:rsidR="00000000" w:rsidDel="00000000" w:rsidP="00000000" w:rsidRDefault="00000000" w:rsidRPr="00000000" w14:paraId="00000138">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440" w:right="0" w:hanging="72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Definir estructura de la </w:t>
      </w:r>
      <w:r w:rsidDel="00000000" w:rsidR="00000000" w:rsidRPr="00000000">
        <w:rPr>
          <w:rFonts w:ascii="Times New Roman" w:cs="Times New Roman" w:eastAsia="Times New Roman" w:hAnsi="Times New Roman"/>
          <w:b w:val="1"/>
          <w:bCs w:val="1"/>
          <w:rtl w:val="0"/>
        </w:rPr>
        <w:t xml:space="preserve">librerías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del repositorio</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repositorio de JP S.A.C. </w:t>
      </w:r>
      <w:r w:rsidDel="00000000" w:rsidR="00000000" w:rsidRPr="00000000">
        <w:rPr>
          <w:rFonts w:ascii="Times New Roman" w:cs="Times New Roman" w:eastAsia="Times New Roman" w:hAnsi="Times New Roman"/>
          <w:rtl w:val="0"/>
        </w:rPr>
        <w:t xml:space="preserve">esta</w:t>
      </w:r>
      <w:r w:rsidDel="00000000" w:rsidR="00000000" w:rsidRPr="00000000">
        <w:rPr>
          <w:rFonts w:ascii="Times New Roman" w:cs="Times New Roman" w:eastAsia="Times New Roman" w:hAnsi="Times New Roman"/>
          <w:rtl w:val="0"/>
        </w:rPr>
        <w:t xml:space="preserve"> alojado en GitHub y se organiza en cuatro carpetas raíz, cada una cumpliendo el rol de una librería controlada. En la carpeta de Clientes se tiene las versiones liberadas y aprobadas de cada sistema, separadas por cliente. En la carpeta de Desarrollo, que funciona como librería de trabajo y librería de Soporte, se tiene a los proyectos activos con ocho directorios cada una. En la carpeta de Documentos, que equivale a una librería </w:t>
      </w:r>
      <w:r w:rsidDel="00000000" w:rsidR="00000000" w:rsidRPr="00000000">
        <w:rPr>
          <w:rFonts w:ascii="Times New Roman" w:cs="Times New Roman" w:eastAsia="Times New Roman" w:hAnsi="Times New Roman"/>
          <w:rtl w:val="0"/>
        </w:rPr>
        <w:t xml:space="preserve">Principal</w:t>
      </w:r>
      <w:r w:rsidDel="00000000" w:rsidR="00000000" w:rsidRPr="00000000">
        <w:rPr>
          <w:rFonts w:ascii="Times New Roman" w:cs="Times New Roman" w:eastAsia="Times New Roman" w:hAnsi="Times New Roman"/>
          <w:rtl w:val="0"/>
        </w:rPr>
        <w:t xml:space="preserve">, se almacenan artefactos que no pertenecen a un proyecto en específico sino a JP-SAC en su conjunto. Por último, en la carpeta de Línea Base, que es una librería que materializa el control formal de versiones aprobadas, están todos los proyectos activos cada uno con hitos congelados registrados.</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99730" cy="41910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39973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righ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440" w:right="0" w:hanging="720"/>
        <w:jc w:val="left"/>
        <w:rPr>
          <w:rFonts w:ascii="Times New Roman" w:cs="Times New Roman" w:eastAsia="Times New Roman" w:hAnsi="Times New Roman"/>
          <w:b w:val="1"/>
          <w:bCs w:val="1"/>
          <w:i w:val="0"/>
          <w:iCs w:val="0"/>
          <w:smallCaps w:val="0"/>
          <w:strike w:val="0"/>
          <w:color w:val="000000"/>
          <w:sz w:val="22"/>
          <w:szCs w:val="22"/>
          <w:highlight w:val="yellow"/>
          <w:vertAlign w:val="baseline"/>
        </w:rPr>
      </w:pPr>
      <w:r w:rsidDel="00000000" w:rsidR="00000000" w:rsidRPr="00000000">
        <w:rPr>
          <w:rFonts w:ascii="Times New Roman" w:cs="Times New Roman" w:eastAsia="Times New Roman" w:hAnsi="Times New Roman"/>
          <w:b w:val="1"/>
          <w:bCs w:val="1"/>
          <w:highlight w:val="yellow"/>
          <w:rtl w:val="0"/>
        </w:rPr>
        <w:t xml:space="preserve">Definición</w:t>
      </w:r>
      <w:r w:rsidDel="00000000" w:rsidR="00000000" w:rsidRPr="00000000">
        <w:rPr>
          <w:rFonts w:ascii="Times New Roman" w:cs="Times New Roman" w:eastAsia="Times New Roman" w:hAnsi="Times New Roman"/>
          <w:b w:val="1"/>
          <w:bCs w:val="1"/>
          <w:i w:val="0"/>
          <w:iCs w:val="0"/>
          <w:smallCaps w:val="0"/>
          <w:strike w:val="0"/>
          <w:color w:val="000000"/>
          <w:sz w:val="22"/>
          <w:szCs w:val="22"/>
          <w:highlight w:val="yellow"/>
          <w:u w:val="none"/>
          <w:vertAlign w:val="baseline"/>
          <w:rtl w:val="0"/>
        </w:rPr>
        <w:t xml:space="preserve"> de Nomenclatura</w:t>
      </w: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1: Para ítems que no pertenecen a un proyecto específico </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Fórmula:</w:t>
      </w:r>
    </w:p>
    <w:sdt>
      <w:sdtPr>
        <w:lock w:val="contentLocked"/>
        <w:id w:val="-491377287"/>
        <w:tag w:val="goog_rdk_4"/>
      </w:sdtPr>
      <w:sdtContent>
        <w:tbl>
          <w:tblPr>
            <w:tblStyle w:val="Table5"/>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64"/>
            <w:tblGridChange w:id="0">
              <w:tblGrid>
                <w:gridCol w:w="706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ACRÓNIMO_ITEM</w:t>
                </w:r>
                <w:r w:rsidDel="00000000" w:rsidR="00000000" w:rsidRPr="00000000">
                  <w:rPr>
                    <w:rFonts w:ascii="Times New Roman" w:cs="Times New Roman" w:eastAsia="Times New Roman" w:hAnsi="Times New Roman"/>
                    <w:rtl w:val="0"/>
                  </w:rPr>
                  <w:t xml:space="preserve"> + Extensión </w:t>
                </w:r>
              </w:p>
            </w:tc>
          </w:tr>
        </w:tbl>
      </w:sdtContent>
    </w:sdt>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Ejemplos:</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sdt>
      <w:sdtPr>
        <w:lock w:val="contentLocked"/>
        <w:id w:val="651582020"/>
        <w:tag w:val="goog_rdk_5"/>
      </w:sdtPr>
      <w:sdtContent>
        <w:tbl>
          <w:tblPr>
            <w:tblStyle w:val="Table6"/>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32"/>
            <w:gridCol w:w="3532"/>
            <w:tblGridChange w:id="0">
              <w:tblGrid>
                <w:gridCol w:w="3532"/>
                <w:gridCol w:w="35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Nomenclatura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Política de Control de Versiones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PCV.docx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de Estándares de Desarrollo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MED.docx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Plantilla de Solicitud de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PSC.docx</w:t>
                </w:r>
              </w:p>
            </w:tc>
          </w:tr>
        </w:tbl>
      </w:sdtContent>
    </w:sdt>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2: Para ítems específicos de un proyecto </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Fórmula:</w:t>
      </w:r>
    </w:p>
    <w:sdt>
      <w:sdtPr>
        <w:lock w:val="contentLocked"/>
        <w:id w:val="149278263"/>
        <w:tag w:val="goog_rdk_6"/>
      </w:sdtPr>
      <w:sdtContent>
        <w:tbl>
          <w:tblPr>
            <w:tblStyle w:val="Table7"/>
            <w:tblW w:w="573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30"/>
            <w:tblGridChange w:id="0">
              <w:tblGrid>
                <w:gridCol w:w="57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spacing w:after="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ACRÓNIMO_PROYECTO + "-" + ACRÓNIMO_ITEM + Extensión </w:t>
                </w:r>
              </w:p>
            </w:tc>
          </w:tr>
        </w:tbl>
      </w:sdtContent>
    </w:sdt>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Ejemplos:</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sdt>
      <w:sdtPr>
        <w:lock w:val="contentLocked"/>
        <w:id w:val="-476889142"/>
        <w:tag w:val="goog_rdk_7"/>
      </w:sdtPr>
      <w:sdtContent>
        <w:tbl>
          <w:tblPr>
            <w:tblStyle w:val="Table8"/>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32"/>
            <w:gridCol w:w="3532"/>
            <w:tblGridChange w:id="0">
              <w:tblGrid>
                <w:gridCol w:w="3532"/>
                <w:gridCol w:w="35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Nomenclatura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de Alcance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SGPI-DA.docx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Charter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SGPI-PC.docx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Requisitos del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SGPI-LRS.docx </w:t>
                </w:r>
              </w:p>
            </w:tc>
          </w:tr>
        </w:tbl>
      </w:sdtContent>
    </w:sdt>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2">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3: Para ítems con acrónimos en conflicto dentro de un mismo proyecto </w:t>
      </w:r>
    </w:p>
    <w:p w:rsidR="00000000" w:rsidDel="00000000" w:rsidP="00000000" w:rsidRDefault="00000000" w:rsidRPr="00000000" w14:paraId="00000163">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Fórmula:</w:t>
      </w:r>
    </w:p>
    <w:sdt>
      <w:sdtPr>
        <w:lock w:val="contentLocked"/>
        <w:id w:val="731965910"/>
        <w:tag w:val="goog_rdk_8"/>
      </w:sdtPr>
      <w:sdtContent>
        <w:tbl>
          <w:tblPr>
            <w:tblStyle w:val="Table9"/>
            <w:tblW w:w="69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60"/>
            <w:tblGridChange w:id="0">
              <w:tblGrid>
                <w:gridCol w:w="6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ACRÓNIMO_PROYECTO + "-" + ACRÓNIMO_EXTENDIDO_ITEM + Extensión </w:t>
                </w:r>
              </w:p>
            </w:tc>
          </w:tr>
        </w:tbl>
      </w:sdtContent>
    </w:sdt>
    <w:p w:rsidR="00000000" w:rsidDel="00000000" w:rsidP="00000000" w:rsidRDefault="00000000" w:rsidRPr="00000000" w14:paraId="00000166">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7">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Regla de extensión: </w:t>
      </w:r>
    </w:p>
    <w:p w:rsidR="00000000" w:rsidDel="00000000" w:rsidP="00000000" w:rsidRDefault="00000000" w:rsidRPr="00000000" w14:paraId="00000168">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Cuando 2 ítems generan el mismo acrónimo, se amplía tomando las primeras letras de la última palabra del nombre del ítem hasta lograr un mínimo de 3 caracteres que los diferencie. Si con 3 caracteres aún hay conflicto, entonces se amplía hasta que sean únicos.</w:t>
      </w:r>
    </w:p>
    <w:p w:rsidR="00000000" w:rsidDel="00000000" w:rsidP="00000000" w:rsidRDefault="00000000" w:rsidRPr="00000000" w14:paraId="00000169">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A">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w:t>
      </w:r>
    </w:p>
    <w:p w:rsidR="00000000" w:rsidDel="00000000" w:rsidP="00000000" w:rsidRDefault="00000000" w:rsidRPr="00000000" w14:paraId="0000016B">
      <w:pPr>
        <w:spacing w:after="0" w:lineRule="auto"/>
        <w:ind w:left="1440" w:firstLine="0"/>
        <w:rPr>
          <w:rFonts w:ascii="Times New Roman" w:cs="Times New Roman" w:eastAsia="Times New Roman" w:hAnsi="Times New Roman"/>
        </w:rPr>
      </w:pPr>
      <w:r w:rsidDel="00000000" w:rsidR="00000000" w:rsidRPr="00000000">
        <w:rPr>
          <w:rtl w:val="0"/>
        </w:rPr>
      </w:r>
    </w:p>
    <w:sdt>
      <w:sdtPr>
        <w:lock w:val="contentLocked"/>
        <w:id w:val="-1547041490"/>
        <w:tag w:val="goog_rdk_9"/>
      </w:sdtPr>
      <w:sdtContent>
        <w:tbl>
          <w:tblPr>
            <w:tblStyle w:val="Table10"/>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6"/>
            <w:gridCol w:w="1766"/>
            <w:gridCol w:w="1766"/>
            <w:gridCol w:w="1766"/>
            <w:tblGridChange w:id="0">
              <w:tblGrid>
                <w:gridCol w:w="1766"/>
                <w:gridCol w:w="1766"/>
                <w:gridCol w:w="1766"/>
                <w:gridCol w:w="17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 en conflicto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 corregido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Nomenclatura corregida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de Alcance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SGPI-DAL.docx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Diagrama de Arquitectura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DARQ</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SGPI-DARQ.pdf </w:t>
                </w:r>
              </w:p>
            </w:tc>
          </w:tr>
        </w:tbl>
      </w:sdtContent>
    </w:sdt>
    <w:p w:rsidR="00000000" w:rsidDel="00000000" w:rsidP="00000000" w:rsidRDefault="00000000" w:rsidRPr="00000000" w14:paraId="00000178">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4: Para ítems de casos de uso de un proyecto </w:t>
      </w:r>
    </w:p>
    <w:p w:rsidR="00000000" w:rsidDel="00000000" w:rsidP="00000000" w:rsidRDefault="00000000" w:rsidRPr="00000000" w14:paraId="0000017B">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C">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Fórmula:</w:t>
      </w:r>
    </w:p>
    <w:sdt>
      <w:sdtPr>
        <w:lock w:val="contentLocked"/>
        <w:id w:val="873407816"/>
        <w:tag w:val="goog_rdk_10"/>
      </w:sdtPr>
      <w:sdtContent>
        <w:tbl>
          <w:tblPr>
            <w:tblStyle w:val="Table11"/>
            <w:tblW w:w="706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65"/>
            <w:tblGridChange w:id="0">
              <w:tblGrid>
                <w:gridCol w:w="70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ACRÓNIMO_PROYECTO + "-" + "CU" + NÚMERO_CASO_DE_USO + Extensión </w:t>
                </w:r>
              </w:p>
            </w:tc>
          </w:tr>
        </w:tbl>
      </w:sdtContent>
    </w:sdt>
    <w:p w:rsidR="00000000" w:rsidDel="00000000" w:rsidP="00000000" w:rsidRDefault="00000000" w:rsidRPr="00000000" w14:paraId="0000017E">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F">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w:t>
      </w:r>
    </w:p>
    <w:p w:rsidR="00000000" w:rsidDel="00000000" w:rsidP="00000000" w:rsidRDefault="00000000" w:rsidRPr="00000000" w14:paraId="00000180">
      <w:pPr>
        <w:spacing w:after="0" w:lineRule="auto"/>
        <w:ind w:left="1440" w:firstLine="0"/>
        <w:rPr>
          <w:rFonts w:ascii="Times New Roman" w:cs="Times New Roman" w:eastAsia="Times New Roman" w:hAnsi="Times New Roman"/>
        </w:rPr>
      </w:pPr>
      <w:r w:rsidDel="00000000" w:rsidR="00000000" w:rsidRPr="00000000">
        <w:rPr>
          <w:rtl w:val="0"/>
        </w:rPr>
      </w:r>
    </w:p>
    <w:sdt>
      <w:sdtPr>
        <w:lock w:val="contentLocked"/>
        <w:id w:val="-530416359"/>
        <w:tag w:val="goog_rdk_11"/>
      </w:sdtPr>
      <w:sdtContent>
        <w:tbl>
          <w:tblPr>
            <w:tblStyle w:val="Table12"/>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32"/>
            <w:gridCol w:w="3532"/>
            <w:tblGridChange w:id="0">
              <w:tblGrid>
                <w:gridCol w:w="3532"/>
                <w:gridCol w:w="35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Nomenclatura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Caso de Uso 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SGPI-CU01.docx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Caso de Uso 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SGPI-CU02.docx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Caso de Uso 14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SGPI-CU14.docx </w:t>
                </w:r>
              </w:p>
            </w:tc>
          </w:tr>
        </w:tbl>
      </w:sdtContent>
    </w:sdt>
    <w:p w:rsidR="00000000" w:rsidDel="00000000" w:rsidP="00000000" w:rsidRDefault="00000000" w:rsidRPr="00000000" w14:paraId="00000189">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5: Para ítems cuyo nombre contiene un acrónimo técnico conocido (DDL, API, PDF, RLS, ETL...) </w:t>
      </w:r>
    </w:p>
    <w:p w:rsidR="00000000" w:rsidDel="00000000" w:rsidP="00000000" w:rsidRDefault="00000000" w:rsidRPr="00000000" w14:paraId="0000018C">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D">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Fórmula:</w:t>
      </w:r>
    </w:p>
    <w:sdt>
      <w:sdtPr>
        <w:lock w:val="contentLocked"/>
        <w:id w:val="-518709081"/>
        <w:tag w:val="goog_rdk_12"/>
      </w:sdtPr>
      <w:sdtContent>
        <w:tbl>
          <w:tblPr>
            <w:tblStyle w:val="Table13"/>
            <w:tblW w:w="69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60"/>
            <w:tblGridChange w:id="0">
              <w:tblGrid>
                <w:gridCol w:w="6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ACRÓNIMO_PROYECTO + "-" + INICIALES_PALABRAS_COMUNES + ACRÓNIMO_TÉCNICO_COMPLETO + Extensión </w:t>
                </w:r>
              </w:p>
            </w:tc>
          </w:tr>
        </w:tbl>
      </w:sdtContent>
    </w:sdt>
    <w:p w:rsidR="00000000" w:rsidDel="00000000" w:rsidP="00000000" w:rsidRDefault="00000000" w:rsidRPr="00000000" w14:paraId="0000018F">
      <w:pPr>
        <w:spacing w:after="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0">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w:t>
      </w:r>
    </w:p>
    <w:p w:rsidR="00000000" w:rsidDel="00000000" w:rsidP="00000000" w:rsidRDefault="00000000" w:rsidRPr="00000000" w14:paraId="00000191">
      <w:pPr>
        <w:spacing w:after="0" w:lineRule="auto"/>
        <w:ind w:left="1440" w:firstLine="0"/>
        <w:rPr>
          <w:rFonts w:ascii="Times New Roman" w:cs="Times New Roman" w:eastAsia="Times New Roman" w:hAnsi="Times New Roman"/>
        </w:rPr>
      </w:pPr>
      <w:r w:rsidDel="00000000" w:rsidR="00000000" w:rsidRPr="00000000">
        <w:rPr>
          <w:rtl w:val="0"/>
        </w:rPr>
      </w:r>
    </w:p>
    <w:sdt>
      <w:sdtPr>
        <w:lock w:val="contentLocked"/>
        <w:id w:val="683115890"/>
        <w:tag w:val="goog_rdk_13"/>
      </w:sdtPr>
      <w:sdtContent>
        <w:tbl>
          <w:tblPr>
            <w:tblStyle w:val="Table14"/>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32"/>
            <w:gridCol w:w="3532"/>
            <w:tblGridChange w:id="0">
              <w:tblGrid>
                <w:gridCol w:w="3532"/>
                <w:gridCol w:w="35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Nomenclatura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Flujo ETL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SGPI-FETL.docx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Parser PDF</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SGPI-CPPDF.py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Scripts DDL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SGPI-SDDL.sql</w:t>
                </w:r>
              </w:p>
            </w:tc>
          </w:tr>
        </w:tbl>
      </w:sdtContent>
    </w:sdt>
    <w:p w:rsidR="00000000" w:rsidDel="00000000" w:rsidP="00000000" w:rsidRDefault="00000000" w:rsidRPr="00000000" w14:paraId="0000019A">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6: Para ítems cuyo nombre contiene un sistema o marca externa (RAIS, RENACYT, Cybertesis...) </w:t>
      </w:r>
    </w:p>
    <w:p w:rsidR="00000000" w:rsidDel="00000000" w:rsidP="00000000" w:rsidRDefault="00000000" w:rsidRPr="00000000" w14:paraId="0000019C">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Fórmula:</w:t>
      </w:r>
    </w:p>
    <w:sdt>
      <w:sdtPr>
        <w:lock w:val="contentLocked"/>
        <w:id w:val="-1190111472"/>
        <w:tag w:val="goog_rdk_14"/>
      </w:sdtPr>
      <w:sdtContent>
        <w:tbl>
          <w:tblPr>
            <w:tblStyle w:val="Table15"/>
            <w:tblW w:w="69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60"/>
            <w:tblGridChange w:id="0">
              <w:tblGrid>
                <w:gridCol w:w="6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ACRÓNIMO_PROYECTO + "-" + INICIALES_PALABRAS_COMUNES + ABREVIATURA_SISTEMA +  Extensión </w:t>
                </w:r>
              </w:p>
            </w:tc>
          </w:tr>
        </w:tbl>
      </w:sdtContent>
    </w:sdt>
    <w:p w:rsidR="00000000" w:rsidDel="00000000" w:rsidP="00000000" w:rsidRDefault="00000000" w:rsidRPr="00000000" w14:paraId="0000019F">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0">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Regla de extensión: </w:t>
      </w:r>
    </w:p>
    <w:p w:rsidR="00000000" w:rsidDel="00000000" w:rsidP="00000000" w:rsidRDefault="00000000" w:rsidRPr="00000000" w14:paraId="000001A1">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abreviatura del sistema se toma con las primeras 3 letras del nombre del sistema. </w:t>
      </w:r>
    </w:p>
    <w:p w:rsidR="00000000" w:rsidDel="00000000" w:rsidP="00000000" w:rsidRDefault="00000000" w:rsidRPr="00000000" w14:paraId="000001A2">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w:t>
      </w:r>
    </w:p>
    <w:p w:rsidR="00000000" w:rsidDel="00000000" w:rsidP="00000000" w:rsidRDefault="00000000" w:rsidRPr="00000000" w14:paraId="000001A4">
      <w:pPr>
        <w:spacing w:after="0" w:lineRule="auto"/>
        <w:ind w:left="1440" w:firstLine="0"/>
        <w:rPr>
          <w:rFonts w:ascii="Times New Roman" w:cs="Times New Roman" w:eastAsia="Times New Roman" w:hAnsi="Times New Roman"/>
        </w:rPr>
      </w:pPr>
      <w:r w:rsidDel="00000000" w:rsidR="00000000" w:rsidRPr="00000000">
        <w:rPr>
          <w:rtl w:val="0"/>
        </w:rPr>
      </w:r>
    </w:p>
    <w:sdt>
      <w:sdtPr>
        <w:lock w:val="contentLocked"/>
        <w:id w:val="685654534"/>
        <w:tag w:val="goog_rdk_15"/>
      </w:sdtPr>
      <w:sdtContent>
        <w:tbl>
          <w:tblPr>
            <w:tblStyle w:val="Table16"/>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32"/>
            <w:gridCol w:w="3532"/>
            <w:tblGridChange w:id="0">
              <w:tblGrid>
                <w:gridCol w:w="3532"/>
                <w:gridCol w:w="35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Nomenclatura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Importación RAIS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SGPI-CIRAI.py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Scraping RENACYT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SGPI-CSREN.py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Scraping Cybertesis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SGPI-CSCYB.py</w:t>
                </w:r>
              </w:p>
            </w:tc>
          </w:tr>
        </w:tbl>
      </w:sdtContent>
    </w:sdt>
    <w:p w:rsidR="00000000" w:rsidDel="00000000" w:rsidP="00000000" w:rsidRDefault="00000000" w:rsidRPr="00000000" w14:paraId="000001AD">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E">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 7: Para ítems cuyo nombre contiene una barra "/"  </w:t>
      </w:r>
    </w:p>
    <w:p w:rsidR="00000000" w:rsidDel="00000000" w:rsidP="00000000" w:rsidRDefault="00000000" w:rsidRPr="00000000" w14:paraId="000001AF">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0">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Fórmula:</w:t>
      </w:r>
    </w:p>
    <w:sdt>
      <w:sdtPr>
        <w:lock w:val="contentLocked"/>
        <w:id w:val="-891605100"/>
        <w:tag w:val="goog_rdk_16"/>
      </w:sdtPr>
      <w:sdtContent>
        <w:tbl>
          <w:tblPr>
            <w:tblStyle w:val="Table17"/>
            <w:tblW w:w="69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60"/>
            <w:tblGridChange w:id="0">
              <w:tblGrid>
                <w:gridCol w:w="6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ACRÓNIMO_PROYECTO + "-" + ACRÓNIMO_PARTE_ANTES + ACRÓNIMO PARTE_DESPUÉS + Extensión </w:t>
                </w:r>
              </w:p>
            </w:tc>
          </w:tr>
        </w:tbl>
      </w:sdtContent>
    </w:sdt>
    <w:p w:rsidR="00000000" w:rsidDel="00000000" w:rsidP="00000000" w:rsidRDefault="00000000" w:rsidRPr="00000000" w14:paraId="000001B2">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Regla: </w:t>
      </w:r>
    </w:p>
    <w:p w:rsidR="00000000" w:rsidDel="00000000" w:rsidP="00000000" w:rsidRDefault="00000000" w:rsidRPr="00000000" w14:paraId="000001B4">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parte separada por "/" se procesa de forma independiente aplicando los casos anteriores según corresponda: </w:t>
      </w:r>
    </w:p>
    <w:p w:rsidR="00000000" w:rsidDel="00000000" w:rsidP="00000000" w:rsidRDefault="00000000" w:rsidRPr="00000000" w14:paraId="000001B5">
      <w:pPr>
        <w:numPr>
          <w:ilvl w:val="0"/>
          <w:numId w:val="8"/>
        </w:numPr>
        <w:spacing w:after="0" w:lineRule="auto"/>
        <w:ind w:left="2160" w:hanging="360"/>
      </w:pPr>
      <w:sdt>
        <w:sdtPr>
          <w:id w:val="-1637113038"/>
          <w:tag w:val="goog_rdk_17"/>
        </w:sdtPr>
        <w:sdtContent>
          <w:r w:rsidDel="00000000" w:rsidR="00000000" w:rsidRPr="00000000">
            <w:rPr>
              <w:rFonts w:ascii="Cardo" w:cs="Cardo" w:eastAsia="Cardo" w:hAnsi="Cardo"/>
              <w:rtl w:val="0"/>
            </w:rPr>
            <w:t xml:space="preserve">Si es una palabra común → se toma su </w:t>
          </w:r>
        </w:sdtContent>
      </w:sdt>
      <w:r w:rsidDel="00000000" w:rsidR="00000000" w:rsidRPr="00000000">
        <w:rPr>
          <w:rFonts w:ascii="Times New Roman" w:cs="Times New Roman" w:eastAsia="Times New Roman" w:hAnsi="Times New Roman"/>
          <w:b w:val="1"/>
          <w:bCs w:val="1"/>
          <w:rtl w:val="0"/>
        </w:rPr>
        <w:t xml:space="preserve">inicial</w:t>
      </w:r>
    </w:p>
    <w:p w:rsidR="00000000" w:rsidDel="00000000" w:rsidP="00000000" w:rsidRDefault="00000000" w:rsidRPr="00000000" w14:paraId="000001B6">
      <w:pPr>
        <w:numPr>
          <w:ilvl w:val="0"/>
          <w:numId w:val="8"/>
        </w:numPr>
        <w:spacing w:after="0" w:lineRule="auto"/>
        <w:ind w:left="2160" w:hanging="360"/>
      </w:pPr>
      <w:sdt>
        <w:sdtPr>
          <w:id w:val="126090995"/>
          <w:tag w:val="goog_rdk_18"/>
        </w:sdtPr>
        <w:sdtContent>
          <w:r w:rsidDel="00000000" w:rsidR="00000000" w:rsidRPr="00000000">
            <w:rPr>
              <w:rFonts w:ascii="Cardo" w:cs="Cardo" w:eastAsia="Cardo" w:hAnsi="Cardo"/>
              <w:rtl w:val="0"/>
            </w:rPr>
            <w:t xml:space="preserve">Si es un acrónimo técnico conocido (API, DDL, PDF...) → se toma </w:t>
          </w:r>
        </w:sdtContent>
      </w:sdt>
      <w:r w:rsidDel="00000000" w:rsidR="00000000" w:rsidRPr="00000000">
        <w:rPr>
          <w:rFonts w:ascii="Times New Roman" w:cs="Times New Roman" w:eastAsia="Times New Roman" w:hAnsi="Times New Roman"/>
          <w:b w:val="1"/>
          <w:bCs w:val="1"/>
          <w:rtl w:val="0"/>
        </w:rPr>
        <w:t xml:space="preserve">completo</w:t>
      </w:r>
      <w:r w:rsidDel="00000000" w:rsidR="00000000" w:rsidRPr="00000000">
        <w:rPr>
          <w:rFonts w:ascii="Times New Roman" w:cs="Times New Roman" w:eastAsia="Times New Roman" w:hAnsi="Times New Roman"/>
          <w:rtl w:val="0"/>
        </w:rPr>
        <w:t xml:space="preserve"> (Caso 5)</w:t>
      </w:r>
    </w:p>
    <w:p w:rsidR="00000000" w:rsidDel="00000000" w:rsidP="00000000" w:rsidRDefault="00000000" w:rsidRPr="00000000" w14:paraId="000001B7">
      <w:pPr>
        <w:numPr>
          <w:ilvl w:val="0"/>
          <w:numId w:val="8"/>
        </w:numPr>
        <w:spacing w:after="0" w:lineRule="auto"/>
        <w:ind w:left="2160" w:hanging="360"/>
      </w:pPr>
      <w:sdt>
        <w:sdtPr>
          <w:id w:val="-2077583817"/>
          <w:tag w:val="goog_rdk_19"/>
        </w:sdtPr>
        <w:sdtContent>
          <w:r w:rsidDel="00000000" w:rsidR="00000000" w:rsidRPr="00000000">
            <w:rPr>
              <w:rFonts w:ascii="Cardo" w:cs="Cardo" w:eastAsia="Cardo" w:hAnsi="Cardo"/>
              <w:rtl w:val="0"/>
            </w:rPr>
            <w:t xml:space="preserve">Si es un sistema externo (RAIS, RENACYT...) → se </w:t>
          </w:r>
        </w:sdtContent>
      </w:sdt>
      <w:r w:rsidDel="00000000" w:rsidR="00000000" w:rsidRPr="00000000">
        <w:rPr>
          <w:rFonts w:ascii="Times New Roman" w:cs="Times New Roman" w:eastAsia="Times New Roman" w:hAnsi="Times New Roman"/>
          <w:b w:val="1"/>
          <w:bCs w:val="1"/>
          <w:rtl w:val="0"/>
        </w:rPr>
        <w:t xml:space="preserve">abrevia</w:t>
      </w:r>
      <w:r w:rsidDel="00000000" w:rsidR="00000000" w:rsidRPr="00000000">
        <w:rPr>
          <w:rFonts w:ascii="Times New Roman" w:cs="Times New Roman" w:eastAsia="Times New Roman" w:hAnsi="Times New Roman"/>
          <w:rtl w:val="0"/>
        </w:rPr>
        <w:t xml:space="preserve"> (Caso 6)</w:t>
      </w:r>
    </w:p>
    <w:p w:rsidR="00000000" w:rsidDel="00000000" w:rsidP="00000000" w:rsidRDefault="00000000" w:rsidRPr="00000000" w14:paraId="000001B8">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w:t>
      </w:r>
    </w:p>
    <w:p w:rsidR="00000000" w:rsidDel="00000000" w:rsidP="00000000" w:rsidRDefault="00000000" w:rsidRPr="00000000" w14:paraId="000001BA">
      <w:pPr>
        <w:spacing w:after="0" w:lineRule="auto"/>
        <w:ind w:left="1440" w:firstLine="0"/>
        <w:rPr>
          <w:rFonts w:ascii="Times New Roman" w:cs="Times New Roman" w:eastAsia="Times New Roman" w:hAnsi="Times New Roman"/>
        </w:rPr>
      </w:pPr>
      <w:r w:rsidDel="00000000" w:rsidR="00000000" w:rsidRPr="00000000">
        <w:rPr>
          <w:rtl w:val="0"/>
        </w:rPr>
      </w:r>
    </w:p>
    <w:sdt>
      <w:sdtPr>
        <w:lock w:val="contentLocked"/>
        <w:id w:val="-477494222"/>
        <w:tag w:val="goog_rdk_20"/>
      </w:sdtPr>
      <w:sdtContent>
        <w:tbl>
          <w:tblPr>
            <w:tblStyle w:val="Table18"/>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32"/>
            <w:gridCol w:w="3532"/>
            <w:tblGridChange w:id="0">
              <w:tblGrid>
                <w:gridCol w:w="3532"/>
                <w:gridCol w:w="35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Nomenclatura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Scripts DDL/Triggers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SGPI-SDDLT.sql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Scraping/API RENACYT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SGPI-CSAPIREN.zip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Job/Cron Alertas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SGPI-CJCA.py</w:t>
                </w:r>
              </w:p>
            </w:tc>
          </w:tr>
        </w:tbl>
      </w:sdtContent>
    </w:sdt>
    <w:p w:rsidR="00000000" w:rsidDel="00000000" w:rsidP="00000000" w:rsidRDefault="00000000" w:rsidRPr="00000000" w14:paraId="000001C3">
      <w:pPr>
        <w:spacing w:after="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440" w:right="0" w:hanging="72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Lista de Items  (Clasificación de Items)</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siguiente tabla presenta la clasificación formal de los Ítems de Configuración (IC) identificados en el proyecto, diferenciándolos en tres categorías clave: Evolución, Fuente y Soporte. Además, se aplica la nomenclatura definida previamente para cada ítem, asegurando la trazabilidad dentro del repositorio.</w:t>
      </w:r>
    </w:p>
    <w:sdt>
      <w:sdtPr>
        <w:lock w:val="contentLocked"/>
        <w:id w:val="-411595290"/>
        <w:tag w:val="goog_rdk_21"/>
      </w:sdtPr>
      <w:sdtContent>
        <w:tbl>
          <w:tblPr>
            <w:tblStyle w:val="Table19"/>
            <w:tblW w:w="748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730"/>
            <w:gridCol w:w="1950"/>
            <w:gridCol w:w="1575"/>
            <w:tblGridChange w:id="0">
              <w:tblGrid>
                <w:gridCol w:w="1230"/>
                <w:gridCol w:w="2730"/>
                <w:gridCol w:w="1950"/>
                <w:gridCol w:w="1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Tipo</w:t>
                </w:r>
              </w:p>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(Evolucion</w:t>
                </w:r>
              </w:p>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Fuente</w:t>
                </w:r>
              </w:p>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Soporte</w:t>
                </w:r>
                <w:r w:rsidDel="00000000" w:rsidR="00000000" w:rsidRPr="00000000">
                  <w:rPr>
                    <w:rFonts w:ascii="Times New Roman" w:cs="Times New Roman" w:eastAsia="Times New Roman" w:hAnsi="Times New Roman"/>
                    <w:b w:val="1"/>
                    <w:bCs w:val="1"/>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Nomenclatura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Proyecto</w:t>
                </w:r>
              </w:p>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(Acronimo)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Gestión de la Configuración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PGC.docx</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48.5546874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de Alcance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SGPI-DAL.docx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Charter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SGPI-PC.docx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de Negocio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SGPI-DN.docx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Requisitos del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SGPI-LRS.docx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Requisitos No Funcionales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SGPI-RNF.xlsx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Especificación Casos de Uso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SGPI-CU01.docx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Diagrama de Arquitectura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SGPI-DARQ.pdf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Modelo Entidad-Relación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SGPI-MER.pdf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Línea Base Hito 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SGPI-LBH1.docx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Evolución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Línea Base Hito 4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SGPI-LBH4.docx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Parser PDF</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SGPI-CPPDF.zip</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Importación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SGPI-CI.zip</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API REST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SGPI-CARC.zip</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Job/Cron Alertas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SGPI-CJCA.zip</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Frontend Secciones de 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SGPI-CFSA.zip</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Scripts DDL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SGPI-SDDL.sql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FastAPI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fastapi-v0.100.exe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postgresql-v15.exe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 </w:t>
                </w:r>
              </w:p>
            </w:tc>
          </w:tr>
        </w:tbl>
      </w:sdtContent>
    </w:sdt>
    <w:p w:rsidR="00000000" w:rsidDel="00000000" w:rsidP="00000000" w:rsidRDefault="00000000" w:rsidRPr="00000000" w14:paraId="000002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Tabla 5. Clasificación de Ítems de Configuración</w:t>
      </w: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Control de la GCS</w:t>
      </w:r>
      <w:r w:rsidDel="00000000" w:rsidR="00000000" w:rsidRPr="00000000">
        <w:rPr>
          <w:rtl w:val="0"/>
        </w:rPr>
      </w:r>
    </w:p>
    <w:p w:rsidR="00000000" w:rsidDel="00000000" w:rsidP="00000000" w:rsidRDefault="00000000" w:rsidRPr="00000000" w14:paraId="00000225">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440" w:right="0" w:hanging="720"/>
        <w:jc w:val="left"/>
        <w:rPr>
          <w:rFonts w:ascii="Times New Roman" w:cs="Times New Roman" w:eastAsia="Times New Roman" w:hAnsi="Times New Roman"/>
          <w:b w:val="1"/>
          <w:bCs w:val="1"/>
          <w:i w:val="0"/>
          <w:iCs w:val="0"/>
          <w:smallCaps w:val="0"/>
          <w:strike w:val="0"/>
          <w:color w:val="000000"/>
          <w:sz w:val="22"/>
          <w:szCs w:val="22"/>
          <w:highlight w:val="yellow"/>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highlight w:val="yellow"/>
          <w:u w:val="none"/>
          <w:vertAlign w:val="baseline"/>
          <w:rtl w:val="0"/>
        </w:rPr>
        <w:t xml:space="preserve">Ejemplos de Solicitudes de cambio (1 por alumno)</w:t>
      </w:r>
    </w:p>
    <w:p w:rsidR="00000000" w:rsidDel="00000000" w:rsidP="00000000" w:rsidRDefault="00000000" w:rsidRPr="00000000" w14:paraId="00000226">
      <w:pPr>
        <w:spacing w:after="0" w:lineRule="auto"/>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27">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Alumno:  Marco Renato Castilla Huanca</w:t>
      </w:r>
    </w:p>
    <w:p w:rsidR="00000000" w:rsidDel="00000000" w:rsidP="00000000" w:rsidRDefault="00000000" w:rsidRPr="00000000" w14:paraId="00000228">
      <w:pPr>
        <w:spacing w:after="0" w:lineRule="auto"/>
        <w:ind w:left="1440" w:firstLine="0"/>
        <w:rPr>
          <w:rFonts w:ascii="Times New Roman" w:cs="Times New Roman" w:eastAsia="Times New Roman" w:hAnsi="Times New Roman"/>
          <w:b w:val="1"/>
          <w:bCs w:val="1"/>
        </w:rPr>
      </w:pPr>
      <w:r w:rsidDel="00000000" w:rsidR="00000000" w:rsidRPr="00000000">
        <w:rPr>
          <w:rtl w:val="0"/>
        </w:rPr>
      </w:r>
    </w:p>
    <w:sdt>
      <w:sdtPr>
        <w:lock w:val="contentLocked"/>
        <w:id w:val="-635461213"/>
        <w:tag w:val="goog_rdk_22"/>
      </w:sdtPr>
      <w:sdtContent>
        <w:tbl>
          <w:tblPr>
            <w:tblStyle w:val="Table20"/>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 </w:t>
                </w:r>
              </w:p>
              <w:p w:rsidR="00000000" w:rsidDel="00000000" w:rsidP="00000000" w:rsidRDefault="00000000" w:rsidRPr="00000000" w14:paraId="00000230">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Secretaria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 </w:t>
                </w:r>
              </w:p>
              <w:p w:rsidR="00000000" w:rsidDel="00000000" w:rsidP="00000000" w:rsidRDefault="00000000" w:rsidRPr="00000000" w14:paraId="00000233">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Jefa de la Unidad de Investigación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Modificar el formulario de Registro de Proyectos para que el sistema use el campo "Código de Proyecto" para buscar y enlazar automáticamente los datos al proyecto correspondiente en la base de datos, además se busca añadir un campo de carga para almacenar el archivo PDF original junto al registro.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falta de enlace directo mediante el Código de Proyecto genera registros duplicados en la base de datos y no permite auditar el documento de origen. </w:t>
                </w:r>
              </w:p>
            </w:tc>
          </w:tr>
        </w:tbl>
      </w:sdtContent>
    </w:sdt>
    <w:p w:rsidR="00000000" w:rsidDel="00000000" w:rsidP="00000000" w:rsidRDefault="00000000" w:rsidRPr="00000000" w14:paraId="00000239">
      <w:pPr>
        <w:spacing w:after="0" w:lineRule="auto"/>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3A">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Alumno:  Axel Andree Cueva Alcala</w:t>
      </w:r>
    </w:p>
    <w:p w:rsidR="00000000" w:rsidDel="00000000" w:rsidP="00000000" w:rsidRDefault="00000000" w:rsidRPr="00000000" w14:paraId="0000023B">
      <w:pPr>
        <w:spacing w:after="0" w:lineRule="auto"/>
        <w:ind w:left="1440" w:firstLine="0"/>
        <w:rPr>
          <w:rFonts w:ascii="Times New Roman" w:cs="Times New Roman" w:eastAsia="Times New Roman" w:hAnsi="Times New Roman"/>
          <w:b w:val="1"/>
          <w:bCs w:val="1"/>
        </w:rPr>
      </w:pPr>
      <w:r w:rsidDel="00000000" w:rsidR="00000000" w:rsidRPr="00000000">
        <w:rPr>
          <w:rtl w:val="0"/>
        </w:rPr>
      </w:r>
    </w:p>
    <w:sdt>
      <w:sdtPr>
        <w:lock w:val="contentLocked"/>
        <w:id w:val="1042038030"/>
        <w:tag w:val="goog_rdk_23"/>
      </w:sdtPr>
      <w:sdtContent>
        <w:tbl>
          <w:tblPr>
            <w:tblStyle w:val="Table21"/>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 </w:t>
                </w:r>
              </w:p>
              <w:p w:rsidR="00000000" w:rsidDel="00000000" w:rsidP="00000000" w:rsidRDefault="00000000" w:rsidRPr="00000000" w14:paraId="00000243">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Secretaria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 </w:t>
                </w:r>
              </w:p>
              <w:p w:rsidR="00000000" w:rsidDel="00000000" w:rsidP="00000000" w:rsidRDefault="00000000" w:rsidRPr="00000000" w14:paraId="00000246">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Jefa de la Unidad de Investigación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un estado de "No Auditado" para los registros (proyectos, tesis, publicaciones) que ingresen por el módulo de importación automática. Modificar el módulo de reportes para que excluya automáticamente cualquier registro con este estado. Finalmente, permitir que el estado cambie a validado y sea visible en los reportes únicamente después de que un usuario edite o guarde el registro manualmente desde su respectivo módulo de gestión.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proceso de importación automática no es exacto y puede introducir caracteres corruptos o datos incompletos. Si estos datos crudos pasan directamente al módulo de reportes, el sistema generará documentos oficiales con errores. Este cambio actúa como un filtro de seguridad obligatorio para garantizar que solo la información curada manualmente pueda ser consultada y utilizada en la emisión de reportes. </w:t>
                </w:r>
              </w:p>
            </w:tc>
          </w:tr>
        </w:tbl>
      </w:sdtContent>
    </w:sdt>
    <w:p w:rsidR="00000000" w:rsidDel="00000000" w:rsidP="00000000" w:rsidRDefault="00000000" w:rsidRPr="00000000" w14:paraId="0000024C">
      <w:pPr>
        <w:spacing w:after="0" w:lineRule="auto"/>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4D">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Alumno:  Marcos Luis Basualdo Ale</w:t>
      </w:r>
    </w:p>
    <w:p w:rsidR="00000000" w:rsidDel="00000000" w:rsidP="00000000" w:rsidRDefault="00000000" w:rsidRPr="00000000" w14:paraId="0000024E">
      <w:pPr>
        <w:spacing w:after="0" w:lineRule="auto"/>
        <w:ind w:left="1440" w:firstLine="0"/>
        <w:rPr>
          <w:rFonts w:ascii="Times New Roman" w:cs="Times New Roman" w:eastAsia="Times New Roman" w:hAnsi="Times New Roman"/>
          <w:b w:val="1"/>
          <w:bCs w:val="1"/>
        </w:rPr>
      </w:pPr>
      <w:r w:rsidDel="00000000" w:rsidR="00000000" w:rsidRPr="00000000">
        <w:rPr>
          <w:rtl w:val="0"/>
        </w:rPr>
      </w:r>
    </w:p>
    <w:sdt>
      <w:sdtPr>
        <w:lock w:val="contentLocked"/>
        <w:id w:val="-14592755"/>
        <w:tag w:val="goog_rdk_24"/>
      </w:sdtPr>
      <w:sdtContent>
        <w:tbl>
          <w:tblPr>
            <w:tblStyle w:val="Table22"/>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 </w:t>
                </w:r>
              </w:p>
              <w:p w:rsidR="00000000" w:rsidDel="00000000" w:rsidP="00000000" w:rsidRDefault="00000000" w:rsidRPr="00000000" w14:paraId="00000256">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Secretaria</w:t>
                </w:r>
              </w:p>
              <w:p w:rsidR="00000000" w:rsidDel="00000000" w:rsidP="00000000" w:rsidRDefault="00000000" w:rsidRPr="00000000" w14:paraId="00000258">
                <w:pPr>
                  <w:widowControl w:val="0"/>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 </w:t>
                </w:r>
              </w:p>
              <w:p w:rsidR="00000000" w:rsidDel="00000000" w:rsidP="00000000" w:rsidRDefault="00000000" w:rsidRPr="00000000" w14:paraId="0000025A">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Jefa de la Unidad de Investigación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consultar el historial de un docente, el sistema muestra sus proyectos pero no aparece cuánto dinero se gastó en cada uno ni en qué porcentaje avanzó. Necesitamos que esa información también se vea en esa pantalla.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Cuando revisamos los expedientes de los docentes para sus procesos de ratificación, tenemos que buscar esos datos en otros documentos aparte porque el sistema no los muestra. Eso nos hace perder tiempo y puede causar errores al momento de presentar la información a las autoridades. </w:t>
                </w:r>
              </w:p>
            </w:tc>
          </w:tr>
        </w:tbl>
      </w:sdtContent>
    </w:sdt>
    <w:p w:rsidR="00000000" w:rsidDel="00000000" w:rsidP="00000000" w:rsidRDefault="00000000" w:rsidRPr="00000000" w14:paraId="00000260">
      <w:pPr>
        <w:spacing w:after="0" w:lineRule="auto"/>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61">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Alumno:  Gabriel Poma Gutierrez</w:t>
      </w:r>
    </w:p>
    <w:p w:rsidR="00000000" w:rsidDel="00000000" w:rsidP="00000000" w:rsidRDefault="00000000" w:rsidRPr="00000000" w14:paraId="00000262">
      <w:pPr>
        <w:spacing w:after="0" w:lineRule="auto"/>
        <w:ind w:left="1440" w:firstLine="0"/>
        <w:rPr>
          <w:rFonts w:ascii="Times New Roman" w:cs="Times New Roman" w:eastAsia="Times New Roman" w:hAnsi="Times New Roman"/>
          <w:b w:val="1"/>
          <w:bCs w:val="1"/>
        </w:rPr>
      </w:pPr>
      <w:r w:rsidDel="00000000" w:rsidR="00000000" w:rsidRPr="00000000">
        <w:rPr>
          <w:rtl w:val="0"/>
        </w:rPr>
      </w:r>
    </w:p>
    <w:sdt>
      <w:sdtPr>
        <w:lock w:val="contentLocked"/>
        <w:id w:val="-338645598"/>
        <w:tag w:val="goog_rdk_25"/>
      </w:sdtPr>
      <w:sdtContent>
        <w:tbl>
          <w:tblPr>
            <w:tblStyle w:val="Table23"/>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14/06/2026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 </w:t>
                </w:r>
              </w:p>
              <w:p w:rsidR="00000000" w:rsidDel="00000000" w:rsidP="00000000" w:rsidRDefault="00000000" w:rsidRPr="00000000" w14:paraId="0000026A">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Secretaria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 </w:t>
                </w:r>
              </w:p>
              <w:p w:rsidR="00000000" w:rsidDel="00000000" w:rsidP="00000000" w:rsidRDefault="00000000" w:rsidRPr="00000000" w14:paraId="0000026D">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Jefa de la Unidad de Investigación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Modificar el módulo de Gestionar Perfil de Docente para transformar el registro de la categoría RENACYT de un campo estático a un registro histórico cronológico. El cambio requiere intervenir las siguientes capas:</w:t>
                </w:r>
              </w:p>
              <w:p w:rsidR="00000000" w:rsidDel="00000000" w:rsidP="00000000" w:rsidRDefault="00000000" w:rsidRPr="00000000" w14:paraId="00000271">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Base de Datos:</w:t>
                </w:r>
              </w:p>
              <w:p w:rsidR="00000000" w:rsidDel="00000000" w:rsidP="00000000" w:rsidRDefault="00000000" w:rsidRPr="00000000" w14:paraId="00000272">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Desactivar o remover el campo directo </w:t>
                </w:r>
                <w:r w:rsidDel="00000000" w:rsidR="00000000" w:rsidRPr="00000000">
                  <w:rPr>
                    <w:rFonts w:ascii="Times New Roman" w:cs="Times New Roman" w:eastAsia="Times New Roman" w:hAnsi="Times New Roman"/>
                    <w:rtl w:val="0"/>
                  </w:rPr>
                  <w:t xml:space="preserve">nivel_renacyt</w:t>
                </w:r>
                <w:r w:rsidDel="00000000" w:rsidR="00000000" w:rsidRPr="00000000">
                  <w:rPr>
                    <w:rFonts w:ascii="Times New Roman" w:cs="Times New Roman" w:eastAsia="Times New Roman" w:hAnsi="Times New Roman"/>
                    <w:rtl w:val="0"/>
                  </w:rPr>
                  <w:t xml:space="preserve"> de la tabla de investigadores .</w:t>
                </w:r>
              </w:p>
              <w:p w:rsidR="00000000" w:rsidDel="00000000" w:rsidP="00000000" w:rsidRDefault="00000000" w:rsidRPr="00000000" w14:paraId="00000273">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Crear una nueva tabla vinculada (</w:t>
                </w:r>
                <w:r w:rsidDel="00000000" w:rsidR="00000000" w:rsidRPr="00000000">
                  <w:rPr>
                    <w:rFonts w:ascii="Times New Roman" w:cs="Times New Roman" w:eastAsia="Times New Roman" w:hAnsi="Times New Roman"/>
                    <w:rtl w:val="0"/>
                  </w:rPr>
                  <w:t xml:space="preserve">historial_renacyt</w:t>
                </w:r>
                <w:r w:rsidDel="00000000" w:rsidR="00000000" w:rsidRPr="00000000">
                  <w:rPr>
                    <w:rFonts w:ascii="Times New Roman" w:cs="Times New Roman" w:eastAsia="Times New Roman" w:hAnsi="Times New Roman"/>
                    <w:rtl w:val="0"/>
                  </w:rPr>
                  <w:t xml:space="preserve">) que registre: un ID único, la clave foránea del investigador, el nivel asignado (tipo texto), una fecha de inicio y una fecha de fin (que admita valores nulos para el rango actual vigente).</w:t>
                </w:r>
              </w:p>
              <w:p w:rsidR="00000000" w:rsidDel="00000000" w:rsidP="00000000" w:rsidRDefault="00000000" w:rsidRPr="00000000" w14:paraId="00000274">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Interfaz de Usuario (UI):</w:t>
                </w:r>
              </w:p>
              <w:p w:rsidR="00000000" w:rsidDel="00000000" w:rsidP="00000000" w:rsidRDefault="00000000" w:rsidRPr="00000000" w14:paraId="00000275">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 la pantalla de edición del docente, reemplazar la caja de selección simple del nivel por un componente de tabla o lista que muestre su historial de categorías anteriores .</w:t>
                </w:r>
              </w:p>
              <w:p w:rsidR="00000000" w:rsidDel="00000000" w:rsidP="00000000" w:rsidRDefault="00000000" w:rsidRPr="00000000" w14:paraId="00000276">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Agregar un botón para "Registrar Nueva Categoría" que despliegue un formulario emergente con un selector para el nuevo nivel y un campo de calendario para su fecha de inicio.</w:t>
                </w:r>
              </w:p>
              <w:p w:rsidR="00000000" w:rsidDel="00000000" w:rsidP="00000000" w:rsidRDefault="00000000" w:rsidRPr="00000000" w14:paraId="00000277">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Lógica del Sistema y Reglas de Control:</w:t>
                </w:r>
              </w:p>
              <w:p w:rsidR="00000000" w:rsidDel="00000000" w:rsidP="00000000" w:rsidRDefault="00000000" w:rsidRPr="00000000" w14:paraId="00000278">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 guardar un nuevo nivel, el sistema debe buscar el registro previo que tenga la fecha de fin vacía (NULL) y actualizarlo automáticamente, colocando como fecha de término el día anterior al inicio del nuevo rango </w:t>
                </w:r>
              </w:p>
              <w:p w:rsidR="00000000" w:rsidDel="00000000" w:rsidP="00000000" w:rsidRDefault="00000000" w:rsidRPr="00000000" w14:paraId="00000279">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Programar una validación que impida guardar el registro si las fechas nuevas se cruzan o traslapan con algún periodo ya existente para ese investigador.</w:t>
                </w:r>
              </w:p>
              <w:p w:rsidR="00000000" w:rsidDel="00000000" w:rsidP="00000000" w:rsidRDefault="00000000" w:rsidRPr="00000000" w14:paraId="0000027A">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Adaptación de Consultas en Reportes:</w:t>
                </w:r>
              </w:p>
              <w:p w:rsidR="00000000" w:rsidDel="00000000" w:rsidP="00000000" w:rsidRDefault="00000000" w:rsidRPr="00000000" w14:paraId="0000027B">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Ajustar las consultas SQL de los reportes para que busquen el nivel que el docente tenía activo específicamente en la fecha de inicio del proyecto o publicación, mediante un cruce de rangos de fechas (</w:t>
                </w:r>
                <w:r w:rsidDel="00000000" w:rsidR="00000000" w:rsidRPr="00000000">
                  <w:rPr>
                    <w:rFonts w:ascii="Times New Roman" w:cs="Times New Roman" w:eastAsia="Times New Roman" w:hAnsi="Times New Roman"/>
                    <w:rtl w:val="0"/>
                  </w:rPr>
                  <w:t xml:space="preserve">BETWEEN</w:t>
                </w:r>
                <w:r w:rsidDel="00000000" w:rsidR="00000000" w:rsidRPr="00000000">
                  <w:rPr>
                    <w:rFonts w:ascii="Times New Roman" w:cs="Times New Roman" w:eastAsia="Times New Roman" w:hAnsi="Times New Roman"/>
                    <w:rtl w:val="0"/>
                  </w:rPr>
                  <w:t xml:space="preserve"> fecha_inicio y fecha_fin).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identificó que para los reportes de acreditación y para la Memoria Institucional, no basta con saber el nivel actual del docente. Es necesario conocer qué nivel tenía el investigador al momento de ejecutar un proyecto específico o publicar un artículo. Sin este historial, el sistema generaría inconsistencias en los reportes retroactivos, ya que aplicaría el nivel actual a hitos pasados, afectando la veracidad de los indicadores de impacto de la facultad. </w:t>
                </w:r>
              </w:p>
            </w:tc>
          </w:tr>
        </w:tbl>
      </w:sdtContent>
    </w:sdt>
    <w:p w:rsidR="00000000" w:rsidDel="00000000" w:rsidP="00000000" w:rsidRDefault="00000000" w:rsidRPr="00000000" w14:paraId="0000027E">
      <w:pPr>
        <w:spacing w:after="0" w:lineRule="auto"/>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7F">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Alumno:  Lita Nikole Huanca Tapia</w:t>
      </w:r>
    </w:p>
    <w:p w:rsidR="00000000" w:rsidDel="00000000" w:rsidP="00000000" w:rsidRDefault="00000000" w:rsidRPr="00000000" w14:paraId="00000280">
      <w:pPr>
        <w:spacing w:after="0" w:lineRule="auto"/>
        <w:ind w:left="1440" w:firstLine="0"/>
        <w:rPr>
          <w:rFonts w:ascii="Times New Roman" w:cs="Times New Roman" w:eastAsia="Times New Roman" w:hAnsi="Times New Roman"/>
          <w:b w:val="1"/>
          <w:bCs w:val="1"/>
        </w:rPr>
      </w:pPr>
      <w:r w:rsidDel="00000000" w:rsidR="00000000" w:rsidRPr="00000000">
        <w:rPr>
          <w:rtl w:val="0"/>
        </w:rPr>
      </w:r>
    </w:p>
    <w:sdt>
      <w:sdtPr>
        <w:lock w:val="contentLocked"/>
        <w:id w:val="1768240029"/>
        <w:tag w:val="goog_rdk_26"/>
      </w:sdtPr>
      <w:sdtContent>
        <w:tbl>
          <w:tblPr>
            <w:tblStyle w:val="Table24"/>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 </w:t>
                </w:r>
              </w:p>
              <w:p w:rsidR="00000000" w:rsidDel="00000000" w:rsidP="00000000" w:rsidRDefault="00000000" w:rsidRPr="00000000" w14:paraId="00000288">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Secretaria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 </w:t>
                </w:r>
              </w:p>
              <w:p w:rsidR="00000000" w:rsidDel="00000000" w:rsidP="00000000" w:rsidRDefault="00000000" w:rsidRPr="00000000" w14:paraId="0000028B">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Jefa de la Unidad de Investigación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Modificar el módulo “Alertas de Convocatorias” (CU12 – Consultar alertas de convocatorias) para ampliar la información mostrada en el panel centralizado y en el detalle de cada convocatoria.</w:t>
                </w:r>
              </w:p>
              <w:p w:rsidR="00000000" w:rsidDel="00000000" w:rsidP="00000000" w:rsidRDefault="00000000" w:rsidRPr="00000000" w14:paraId="0000028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este cambio, el sistema deberá incorporar los siguientes elementos adicionales:</w:t>
                </w:r>
              </w:p>
              <w:p w:rsidR="00000000" w:rsidDel="00000000" w:rsidP="00000000" w:rsidRDefault="00000000" w:rsidRPr="00000000" w14:paraId="0000029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Tipo de programa: </w:t>
                </w:r>
                <w:r w:rsidDel="00000000" w:rsidR="00000000" w:rsidRPr="00000000">
                  <w:rPr>
                    <w:rFonts w:ascii="Times New Roman" w:cs="Times New Roman" w:eastAsia="Times New Roman" w:hAnsi="Times New Roman"/>
                    <w:rtl w:val="0"/>
                  </w:rPr>
                  <w:t xml:space="preserve">mostrar la clasificación o programa al que pertenece la convocatoria. Este dato deberá visualizarse tanto en el listado principal como en la vista de detalle.</w:t>
                </w:r>
              </w:p>
              <w:p w:rsidR="00000000" w:rsidDel="00000000" w:rsidP="00000000" w:rsidRDefault="00000000" w:rsidRPr="00000000" w14:paraId="0000029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Número de recordatorio pendiente:</w:t>
                </w:r>
                <w:r w:rsidDel="00000000" w:rsidR="00000000" w:rsidRPr="00000000">
                  <w:rPr>
                    <w:rFonts w:ascii="Times New Roman" w:cs="Times New Roman" w:eastAsia="Times New Roman" w:hAnsi="Times New Roman"/>
                    <w:rtl w:val="0"/>
                  </w:rPr>
                  <w:t xml:space="preserve"> mostrar el número correlativo del próximo recordatorio por enviar según el cronograma vigente de la convocatoria. Ejemplo: “Recordatorio pendiente N.° 1”, “Recordatorio pendiente N.° 2”, etc.</w:t>
                </w:r>
              </w:p>
              <w:p w:rsidR="00000000" w:rsidDel="00000000" w:rsidP="00000000" w:rsidRDefault="00000000" w:rsidRPr="00000000" w14:paraId="00000292">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Actualizar la lógica de semaforización existente utilizando las siguientes reglas:</w:t>
                </w:r>
              </w:p>
              <w:p w:rsidR="00000000" w:rsidDel="00000000" w:rsidP="00000000" w:rsidRDefault="00000000" w:rsidRPr="00000000" w14:paraId="0000029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Verde: convocatorias con más de 15 días restantes para el cierre.</w:t>
                </w:r>
              </w:p>
              <w:p w:rsidR="00000000" w:rsidDel="00000000" w:rsidP="00000000" w:rsidRDefault="00000000" w:rsidRPr="00000000" w14:paraId="0000029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Amarillo: convocatorias con 7 a 15 días restantes para el cierre.</w:t>
                </w:r>
              </w:p>
              <w:p w:rsidR="00000000" w:rsidDel="00000000" w:rsidP="00000000" w:rsidRDefault="00000000" w:rsidRPr="00000000" w14:paraId="0000029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Rojo: convocatorias con 2 días o menos para el cierre.</w:t>
                </w:r>
              </w:p>
              <w:p w:rsidR="00000000" w:rsidDel="00000000" w:rsidP="00000000" w:rsidRDefault="00000000" w:rsidRPr="00000000" w14:paraId="0000029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convocatorias entre 3 y 6 días restantes, el sistema mantendrá el estado de prioridad intermedia definido actualmente, salvo nueva parametrización administrativa.</w:t>
                </w:r>
              </w:p>
              <w:p w:rsidR="00000000" w:rsidDel="00000000" w:rsidP="00000000" w:rsidRDefault="00000000" w:rsidRPr="00000000" w14:paraId="0000029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cálculo de color deberá actualizarse automáticamente cada vez que se modifique una fecha proveniente de sincronizaciones del VRIP.</w:t>
                </w:r>
              </w:p>
              <w:p w:rsidR="00000000" w:rsidDel="00000000" w:rsidP="00000000" w:rsidRDefault="00000000" w:rsidRPr="00000000" w14:paraId="0000029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nuevos campos deberán estar disponibles para filtros y ordenamiento dentro del panel de alertas.</w:t>
                </w:r>
              </w:p>
              <w:p w:rsidR="00000000" w:rsidDel="00000000" w:rsidP="00000000" w:rsidRDefault="00000000" w:rsidRPr="00000000" w14:paraId="0000029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cambios deberán conservar compatibilidad con el historial y registros existentes, sin alterar convocatorias previamente almacenadas.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Actualmente el módulo de alertas permite identificar fechas críticas mediante indicadores visuales; sin embargo, no proporciona información suficiente para determinar rápidamente a qué programa pertenece una convocatoria ni en qué etapa del cronograma de comunicación se encuentra.</w:t>
                </w:r>
              </w:p>
              <w:p w:rsidR="00000000" w:rsidDel="00000000" w:rsidP="00000000" w:rsidRDefault="00000000" w:rsidRPr="00000000" w14:paraId="0000029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Debido a que la Secretaria administra simultáneamente múltiples convocatorias activas con diferentes programas y ciclos de difusión, esta limitación genera consultas manuales adicionales al portal VRIP y dificulta identificar qué acción corresponde ejecutar en cada momento. Incorporar el tipo de programa y el número de recordatorio pendiente permitirá mejorar la priorización, reducir tareas manuales y facilitar el seguimiento operativo de las convocatorias.</w:t>
                </w:r>
              </w:p>
              <w:p w:rsidR="00000000" w:rsidDel="00000000" w:rsidP="00000000" w:rsidRDefault="00000000" w:rsidRPr="00000000" w14:paraId="0000029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Además, la actualización de los criterios de semaforización permitirá representar con mayor precisión el nivel de urgencia asociado a cada convocatoria.</w:t>
                </w:r>
              </w:p>
            </w:tc>
          </w:tr>
        </w:tbl>
      </w:sdtContent>
    </w:sdt>
    <w:p w:rsidR="00000000" w:rsidDel="00000000" w:rsidP="00000000" w:rsidRDefault="00000000" w:rsidRPr="00000000" w14:paraId="0000029E">
      <w:pPr>
        <w:spacing w:after="0" w:lineRule="auto"/>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9F">
      <w:pPr>
        <w:spacing w:after="0" w:line="276"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ab/>
        <w:tab/>
        <w:t xml:space="preserve">Alumno: Angel Luis Kallpa De la Cruz Meza</w:t>
      </w:r>
    </w:p>
    <w:p w:rsidR="00000000" w:rsidDel="00000000" w:rsidP="00000000" w:rsidRDefault="00000000" w:rsidRPr="00000000" w14:paraId="000002A0">
      <w:pPr>
        <w:spacing w:after="0" w:line="276" w:lineRule="auto"/>
        <w:jc w:val="left"/>
        <w:rPr>
          <w:rFonts w:ascii="Times New Roman" w:cs="Times New Roman" w:eastAsia="Times New Roman" w:hAnsi="Times New Roman"/>
          <w:b w:val="1"/>
          <w:bCs w:val="1"/>
          <w:sz w:val="20"/>
          <w:szCs w:val="20"/>
        </w:rPr>
      </w:pPr>
      <w:r w:rsidDel="00000000" w:rsidR="00000000" w:rsidRPr="00000000">
        <w:rPr>
          <w:rtl w:val="0"/>
        </w:rPr>
      </w:r>
    </w:p>
    <w:tbl>
      <w:tblPr>
        <w:tblStyle w:val="Table25"/>
        <w:tblpPr w:leftFromText="180" w:rightFromText="180" w:topFromText="180" w:bottomFromText="180" w:vertAnchor="text" w:horzAnchor="text" w:tblpX="1440" w:tblpY="0"/>
        <w:tblW w:w="7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35"/>
        <w:gridCol w:w="4515"/>
        <w:tblGridChange w:id="0">
          <w:tblGrid>
            <w:gridCol w:w="2535"/>
            <w:gridCol w:w="4515"/>
          </w:tblGrid>
        </w:tblGridChange>
      </w:tblGrid>
      <w:tr>
        <w:trPr>
          <w:cantSplit w:val="0"/>
          <w:trHeight w:val="493.55468749999994"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SGPI</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SC006</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r>
      <w:tr>
        <w:trPr>
          <w:cantSplit w:val="0"/>
          <w:trHeight w:val="12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w:t>
            </w:r>
          </w:p>
          <w:p w:rsidR="00000000" w:rsidDel="00000000" w:rsidP="00000000" w:rsidRDefault="00000000" w:rsidRPr="00000000" w14:paraId="000002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 el cambio)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Secretaria</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w:t>
            </w:r>
          </w:p>
          <w:p w:rsidR="00000000" w:rsidDel="00000000" w:rsidP="00000000" w:rsidRDefault="00000000" w:rsidRPr="00000000" w14:paraId="000002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A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(Autoriza el cambio)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Jefa de la Unidad de Investigación</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B0">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Agregar una funcionalidad en el Frontend (botón de descarga en el Directorio de Docentes) y un endpoint en el Backend para exportar el "Historial de Puntajes (Últimos 7 años)" en formato Excel (.xlsx).</w:t>
            </w:r>
          </w:p>
          <w:p w:rsidR="00000000" w:rsidDel="00000000" w:rsidP="00000000" w:rsidRDefault="00000000" w:rsidRPr="00000000" w14:paraId="000002B1">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2">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3">
            <w:pPr>
              <w:widowControl w:val="0"/>
              <w:spacing w:after="24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Especificaciones técnicas (Estructura del archivo a generar):</w:t>
            </w:r>
          </w:p>
          <w:p w:rsidR="00000000" w:rsidDel="00000000" w:rsidP="00000000" w:rsidRDefault="00000000" w:rsidRPr="00000000" w14:paraId="000002B4">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5">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script de exportación debe ejecutar un JOIN entre la tabla </w:t>
            </w:r>
            <w:r w:rsidDel="00000000" w:rsidR="00000000" w:rsidRPr="00000000">
              <w:rPr>
                <w:rFonts w:ascii="Times New Roman" w:cs="Times New Roman" w:eastAsia="Times New Roman" w:hAnsi="Times New Roman"/>
                <w:rtl w:val="0"/>
              </w:rPr>
              <w:t xml:space="preserve">investigador</w:t>
            </w:r>
            <w:r w:rsidDel="00000000" w:rsidR="00000000" w:rsidRPr="00000000">
              <w:rPr>
                <w:rFonts w:ascii="Times New Roman" w:cs="Times New Roman" w:eastAsia="Times New Roman" w:hAnsi="Times New Roman"/>
                <w:rtl w:val="0"/>
              </w:rPr>
              <w:t xml:space="preserve"> y </w:t>
            </w:r>
            <w:r w:rsidDel="00000000" w:rsidR="00000000" w:rsidRPr="00000000">
              <w:rPr>
                <w:rFonts w:ascii="Times New Roman" w:cs="Times New Roman" w:eastAsia="Times New Roman" w:hAnsi="Times New Roman"/>
                <w:rtl w:val="0"/>
              </w:rPr>
              <w:t xml:space="preserve">historial_puntaje</w:t>
            </w:r>
            <w:r w:rsidDel="00000000" w:rsidR="00000000" w:rsidRPr="00000000">
              <w:rPr>
                <w:rFonts w:ascii="Times New Roman" w:cs="Times New Roman" w:eastAsia="Times New Roman" w:hAnsi="Times New Roman"/>
                <w:rtl w:val="0"/>
              </w:rPr>
              <w:t xml:space="preserve">, devolviendo un archivo </w:t>
            </w:r>
            <w:r w:rsidDel="00000000" w:rsidR="00000000" w:rsidRPr="00000000">
              <w:rPr>
                <w:rFonts w:ascii="Times New Roman" w:cs="Times New Roman" w:eastAsia="Times New Roman" w:hAnsi="Times New Roman"/>
                <w:rtl w:val="0"/>
              </w:rPr>
              <w:t xml:space="preserve">.xlsx</w:t>
            </w:r>
            <w:r w:rsidDel="00000000" w:rsidR="00000000" w:rsidRPr="00000000">
              <w:rPr>
                <w:rFonts w:ascii="Times New Roman" w:cs="Times New Roman" w:eastAsia="Times New Roman" w:hAnsi="Times New Roman"/>
                <w:rtl w:val="0"/>
              </w:rPr>
              <w:t xml:space="preserve"> con la Fila 1 como cabecera estricta y los siguientes campos mapeados desde la Fila 2 en adelante:</w:t>
            </w:r>
          </w:p>
          <w:p w:rsidR="00000000" w:rsidDel="00000000" w:rsidP="00000000" w:rsidRDefault="00000000" w:rsidRPr="00000000" w14:paraId="000002B6">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7">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8">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A (</w:t>
            </w:r>
            <w:r w:rsidDel="00000000" w:rsidR="00000000" w:rsidRPr="00000000">
              <w:rPr>
                <w:rFonts w:ascii="Times New Roman" w:cs="Times New Roman" w:eastAsia="Times New Roman" w:hAnsi="Times New Roman"/>
                <w:b w:val="1"/>
                <w:bCs w:val="1"/>
                <w:rtl w:val="0"/>
              </w:rPr>
              <w:t xml:space="preserve">DNI</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Extraído directamente de la llave primaria (</w:t>
            </w:r>
            <w:r w:rsidDel="00000000" w:rsidR="00000000" w:rsidRPr="00000000">
              <w:rPr>
                <w:rFonts w:ascii="Times New Roman" w:cs="Times New Roman" w:eastAsia="Times New Roman" w:hAnsi="Times New Roman"/>
                <w:rtl w:val="0"/>
              </w:rPr>
              <w:t xml:space="preserve">String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B9">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A">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B (</w:t>
            </w:r>
            <w:r w:rsidDel="00000000" w:rsidR="00000000" w:rsidRPr="00000000">
              <w:rPr>
                <w:rFonts w:ascii="Times New Roman" w:cs="Times New Roman" w:eastAsia="Times New Roman" w:hAnsi="Times New Roman"/>
                <w:b w:val="1"/>
                <w:bCs w:val="1"/>
                <w:rtl w:val="0"/>
              </w:rPr>
              <w:t xml:space="preserve">Apellidos_y_Nombres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Concatenación de ambos campos en mayúsculas (</w:t>
            </w:r>
            <w:r w:rsidDel="00000000" w:rsidR="00000000" w:rsidRPr="00000000">
              <w:rPr>
                <w:rFonts w:ascii="Times New Roman" w:cs="Times New Roman" w:eastAsia="Times New Roman" w:hAnsi="Times New Roman"/>
                <w:rtl w:val="0"/>
              </w:rPr>
              <w:t xml:space="preserve">String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BB">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C">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C (</w:t>
            </w:r>
            <w:r w:rsidDel="00000000" w:rsidR="00000000" w:rsidRPr="00000000">
              <w:rPr>
                <w:rFonts w:ascii="Times New Roman" w:cs="Times New Roman" w:eastAsia="Times New Roman" w:hAnsi="Times New Roman"/>
                <w:b w:val="1"/>
                <w:bCs w:val="1"/>
                <w:rtl w:val="0"/>
              </w:rPr>
              <w:t xml:space="preserve">Año_Evaluacion</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Restringido lógicamente en la consulta SQL a los últimos 7 años respecto a la fecha de la solicitud (</w:t>
            </w:r>
            <w:r w:rsidDel="00000000" w:rsidR="00000000" w:rsidRPr="00000000">
              <w:rPr>
                <w:rFonts w:ascii="Times New Roman" w:cs="Times New Roman" w:eastAsia="Times New Roman" w:hAnsi="Times New Roman"/>
                <w:rtl w:val="0"/>
              </w:rPr>
              <w:t xml:space="preserve">Integer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BD">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E">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D (</w:t>
            </w:r>
            <w:r w:rsidDel="00000000" w:rsidR="00000000" w:rsidRPr="00000000">
              <w:rPr>
                <w:rFonts w:ascii="Times New Roman" w:cs="Times New Roman" w:eastAsia="Times New Roman" w:hAnsi="Times New Roman"/>
                <w:b w:val="1"/>
                <w:bCs w:val="1"/>
                <w:rtl w:val="0"/>
              </w:rPr>
              <w:t xml:space="preserve">Puntaje_Total</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Sumatoria consolidada (</w:t>
            </w:r>
            <w:r w:rsidDel="00000000" w:rsidR="00000000" w:rsidRPr="00000000">
              <w:rPr>
                <w:rFonts w:ascii="Times New Roman" w:cs="Times New Roman" w:eastAsia="Times New Roman" w:hAnsi="Times New Roman"/>
                <w:rtl w:val="0"/>
              </w:rPr>
              <w:t xml:space="preserve">Decimal 5,2</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BF">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0">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E (</w:t>
            </w:r>
            <w:r w:rsidDel="00000000" w:rsidR="00000000" w:rsidRPr="00000000">
              <w:rPr>
                <w:rFonts w:ascii="Times New Roman" w:cs="Times New Roman" w:eastAsia="Times New Roman" w:hAnsi="Times New Roman"/>
                <w:b w:val="1"/>
                <w:bCs w:val="1"/>
                <w:rtl w:val="0"/>
              </w:rPr>
              <w:t xml:space="preserve">Puntaje_Revistas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Desglose numérico (</w:t>
            </w:r>
            <w:r w:rsidDel="00000000" w:rsidR="00000000" w:rsidRPr="00000000">
              <w:rPr>
                <w:rFonts w:ascii="Times New Roman" w:cs="Times New Roman" w:eastAsia="Times New Roman" w:hAnsi="Times New Roman"/>
                <w:rtl w:val="0"/>
              </w:rPr>
              <w:t xml:space="preserve">Decimal 5,2</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C1">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2">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F (</w:t>
            </w:r>
            <w:r w:rsidDel="00000000" w:rsidR="00000000" w:rsidRPr="00000000">
              <w:rPr>
                <w:rFonts w:ascii="Times New Roman" w:cs="Times New Roman" w:eastAsia="Times New Roman" w:hAnsi="Times New Roman"/>
                <w:b w:val="1"/>
                <w:bCs w:val="1"/>
                <w:rtl w:val="0"/>
              </w:rPr>
              <w:t xml:space="preserve">Puntaje_Libros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Desglose numérico (</w:t>
            </w:r>
            <w:r w:rsidDel="00000000" w:rsidR="00000000" w:rsidRPr="00000000">
              <w:rPr>
                <w:rFonts w:ascii="Times New Roman" w:cs="Times New Roman" w:eastAsia="Times New Roman" w:hAnsi="Times New Roman"/>
                <w:rtl w:val="0"/>
              </w:rPr>
              <w:t xml:space="preserve">Decimal 5,2</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C3">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4">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G (</w:t>
            </w:r>
            <w:r w:rsidDel="00000000" w:rsidR="00000000" w:rsidRPr="00000000">
              <w:rPr>
                <w:rFonts w:ascii="Times New Roman" w:cs="Times New Roman" w:eastAsia="Times New Roman" w:hAnsi="Times New Roman"/>
                <w:b w:val="1"/>
                <w:bCs w:val="1"/>
                <w:rtl w:val="0"/>
              </w:rPr>
              <w:t xml:space="preserve">Puntaje_Proyectos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Desglose numérico (</w:t>
            </w:r>
            <w:r w:rsidDel="00000000" w:rsidR="00000000" w:rsidRPr="00000000">
              <w:rPr>
                <w:rFonts w:ascii="Times New Roman" w:cs="Times New Roman" w:eastAsia="Times New Roman" w:hAnsi="Times New Roman"/>
                <w:rtl w:val="0"/>
              </w:rPr>
              <w:t xml:space="preserve">Decimal 5,2</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C5">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6">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H (</w:t>
            </w:r>
            <w:r w:rsidDel="00000000" w:rsidR="00000000" w:rsidRPr="00000000">
              <w:rPr>
                <w:rFonts w:ascii="Times New Roman" w:cs="Times New Roman" w:eastAsia="Times New Roman" w:hAnsi="Times New Roman"/>
                <w:b w:val="1"/>
                <w:bCs w:val="1"/>
                <w:rtl w:val="0"/>
              </w:rPr>
              <w:t xml:space="preserve">Puntaje_Patentes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Desglose numérico (</w:t>
            </w:r>
            <w:r w:rsidDel="00000000" w:rsidR="00000000" w:rsidRPr="00000000">
              <w:rPr>
                <w:rFonts w:ascii="Times New Roman" w:cs="Times New Roman" w:eastAsia="Times New Roman" w:hAnsi="Times New Roman"/>
                <w:rtl w:val="0"/>
              </w:rPr>
              <w:t xml:space="preserve">Decimal 5,2</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C7">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8">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I (</w:t>
            </w:r>
            <w:r w:rsidDel="00000000" w:rsidR="00000000" w:rsidRPr="00000000">
              <w:rPr>
                <w:rFonts w:ascii="Times New Roman" w:cs="Times New Roman" w:eastAsia="Times New Roman" w:hAnsi="Times New Roman"/>
                <w:b w:val="1"/>
                <w:bCs w:val="1"/>
                <w:rtl w:val="0"/>
              </w:rPr>
              <w:t xml:space="preserve">Puntaje_Tesis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Desglose numérico (</w:t>
            </w:r>
            <w:r w:rsidDel="00000000" w:rsidR="00000000" w:rsidRPr="00000000">
              <w:rPr>
                <w:rFonts w:ascii="Times New Roman" w:cs="Times New Roman" w:eastAsia="Times New Roman" w:hAnsi="Times New Roman"/>
                <w:rtl w:val="0"/>
              </w:rPr>
              <w:t xml:space="preserve">Decimal 5,2</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C9">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A">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J (</w:t>
            </w:r>
            <w:r w:rsidDel="00000000" w:rsidR="00000000" w:rsidRPr="00000000">
              <w:rPr>
                <w:rFonts w:ascii="Times New Roman" w:cs="Times New Roman" w:eastAsia="Times New Roman" w:hAnsi="Times New Roman"/>
                <w:b w:val="1"/>
                <w:bCs w:val="1"/>
                <w:rtl w:val="0"/>
              </w:rPr>
              <w:t xml:space="preserve">Puntaje_Otros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Desglose numérico (</w:t>
            </w:r>
            <w:r w:rsidDel="00000000" w:rsidR="00000000" w:rsidRPr="00000000">
              <w:rPr>
                <w:rFonts w:ascii="Times New Roman" w:cs="Times New Roman" w:eastAsia="Times New Roman" w:hAnsi="Times New Roman"/>
                <w:rtl w:val="0"/>
              </w:rPr>
              <w:t xml:space="preserve">Decimal 5,2</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CB">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C">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K (</w:t>
            </w:r>
            <w:r w:rsidDel="00000000" w:rsidR="00000000" w:rsidRPr="00000000">
              <w:rPr>
                <w:rFonts w:ascii="Times New Roman" w:cs="Times New Roman" w:eastAsia="Times New Roman" w:hAnsi="Times New Roman"/>
                <w:b w:val="1"/>
                <w:bCs w:val="1"/>
                <w:rtl w:val="0"/>
              </w:rPr>
              <w:t xml:space="preserve">Deuda_GI</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Condicional en el código; si en la BD es </w:t>
            </w:r>
            <w:r w:rsidDel="00000000" w:rsidR="00000000" w:rsidRPr="00000000">
              <w:rPr>
                <w:rFonts w:ascii="Times New Roman" w:cs="Times New Roman" w:eastAsia="Times New Roman" w:hAnsi="Times New Roman"/>
                <w:rtl w:val="0"/>
              </w:rPr>
              <w:t xml:space="preserve">TRUE</w:t>
            </w:r>
            <w:r w:rsidDel="00000000" w:rsidR="00000000" w:rsidRPr="00000000">
              <w:rPr>
                <w:rFonts w:ascii="Times New Roman" w:cs="Times New Roman" w:eastAsia="Times New Roman" w:hAnsi="Times New Roman"/>
                <w:rtl w:val="0"/>
              </w:rPr>
              <w:t xml:space="preserve">, escribir "Sí", si es </w:t>
            </w:r>
            <w:r w:rsidDel="00000000" w:rsidR="00000000" w:rsidRPr="00000000">
              <w:rPr>
                <w:rFonts w:ascii="Times New Roman" w:cs="Times New Roman" w:eastAsia="Times New Roman" w:hAnsi="Times New Roman"/>
                <w:rtl w:val="0"/>
              </w:rPr>
              <w:t xml:space="preserve">FALSE</w:t>
            </w:r>
            <w:r w:rsidDel="00000000" w:rsidR="00000000" w:rsidRPr="00000000">
              <w:rPr>
                <w:rFonts w:ascii="Times New Roman" w:cs="Times New Roman" w:eastAsia="Times New Roman" w:hAnsi="Times New Roman"/>
                <w:rtl w:val="0"/>
              </w:rPr>
              <w:t xml:space="preserve">, escribir "No".</w:t>
            </w:r>
          </w:p>
          <w:p w:rsidR="00000000" w:rsidDel="00000000" w:rsidP="00000000" w:rsidRDefault="00000000" w:rsidRPr="00000000" w14:paraId="000002CD">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E">
            <w:pPr>
              <w:widowControl w:val="0"/>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Columna L (</w:t>
            </w:r>
            <w:r w:rsidDel="00000000" w:rsidR="00000000" w:rsidRPr="00000000">
              <w:rPr>
                <w:rFonts w:ascii="Times New Roman" w:cs="Times New Roman" w:eastAsia="Times New Roman" w:hAnsi="Times New Roman"/>
                <w:b w:val="1"/>
                <w:bCs w:val="1"/>
                <w:rtl w:val="0"/>
              </w:rPr>
              <w:t xml:space="preserve">Deuda_PI</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Condicional en el código; si en la BD es </w:t>
            </w:r>
            <w:r w:rsidDel="00000000" w:rsidR="00000000" w:rsidRPr="00000000">
              <w:rPr>
                <w:rFonts w:ascii="Times New Roman" w:cs="Times New Roman" w:eastAsia="Times New Roman" w:hAnsi="Times New Roman"/>
                <w:rtl w:val="0"/>
              </w:rPr>
              <w:t xml:space="preserve">TRUE</w:t>
            </w:r>
            <w:r w:rsidDel="00000000" w:rsidR="00000000" w:rsidRPr="00000000">
              <w:rPr>
                <w:rFonts w:ascii="Times New Roman" w:cs="Times New Roman" w:eastAsia="Times New Roman" w:hAnsi="Times New Roman"/>
                <w:rtl w:val="0"/>
              </w:rPr>
              <w:t xml:space="preserve">, escribir "Sí", si es </w:t>
            </w:r>
            <w:r w:rsidDel="00000000" w:rsidR="00000000" w:rsidRPr="00000000">
              <w:rPr>
                <w:rFonts w:ascii="Times New Roman" w:cs="Times New Roman" w:eastAsia="Times New Roman" w:hAnsi="Times New Roman"/>
                <w:rtl w:val="0"/>
              </w:rPr>
              <w:t xml:space="preserve">FALSE</w:t>
            </w:r>
            <w:r w:rsidDel="00000000" w:rsidR="00000000" w:rsidRPr="00000000">
              <w:rPr>
                <w:rFonts w:ascii="Times New Roman" w:cs="Times New Roman" w:eastAsia="Times New Roman" w:hAnsi="Times New Roman"/>
                <w:rtl w:val="0"/>
              </w:rPr>
              <w:t xml:space="preserve">, escribir "No".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comité requiere procesar y cruzar los datos históricos en hojas de cálculo externas para realizar proyecciones de recategorización y auditorías institucionales. Actualmente, el sistema no posee un método de exportación, lo cual requiere una transcripción manual, celda por celda, directamente desde la vista del perfil. Entregar el Excel con las columnas exactas (incluyendo el desglose que la evaluación exige) elimina cualquier riesgo de error humano, estandariza el reporte enviado a las autoridades y ahorra múltiples horas de trabajo operativo. </w:t>
            </w:r>
          </w:p>
        </w:tc>
      </w:tr>
    </w:tbl>
    <w:p w:rsidR="00000000" w:rsidDel="00000000" w:rsidP="00000000" w:rsidRDefault="00000000" w:rsidRPr="00000000" w14:paraId="000002D1">
      <w:pPr>
        <w:spacing w:after="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D2">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440" w:right="0" w:hanging="720"/>
        <w:jc w:val="left"/>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Proceso de Control de Cambios (De la Empresa ETB)</w:t>
      </w:r>
    </w:p>
    <w:p w:rsidR="00000000" w:rsidDel="00000000" w:rsidP="00000000" w:rsidRDefault="00000000" w:rsidRPr="00000000" w14:paraId="000002D3">
      <w:pPr>
        <w:keepNext w:val="0"/>
        <w:keepLines w:val="0"/>
        <w:pageBreakBefore w:val="0"/>
        <w:widowControl w:val="1"/>
        <w:numPr>
          <w:ilvl w:val="4"/>
          <w:numId w:val="6"/>
        </w:numPr>
        <w:pBdr>
          <w:top w:space="0" w:sz="0" w:val="nil"/>
          <w:left w:space="0" w:sz="0" w:val="nil"/>
          <w:bottom w:space="0" w:sz="0" w:val="nil"/>
          <w:right w:space="0" w:sz="0" w:val="nil"/>
          <w:between w:space="0" w:sz="0" w:val="nil"/>
        </w:pBdr>
        <w:shd w:fill="auto" w:val="clear"/>
        <w:spacing w:after="0" w:before="0" w:line="259" w:lineRule="auto"/>
        <w:ind w:left="1800" w:right="0" w:hanging="360"/>
        <w:jc w:val="left"/>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Grafica del proceso</w:t>
      </w:r>
    </w:p>
    <w:p w:rsidR="00000000" w:rsidDel="00000000" w:rsidP="00000000" w:rsidRDefault="00000000" w:rsidRPr="00000000" w14:paraId="000002D4">
      <w:pPr>
        <w:keepNext w:val="0"/>
        <w:keepLines w:val="0"/>
        <w:pageBreakBefore w:val="0"/>
        <w:widowControl w:val="1"/>
        <w:numPr>
          <w:ilvl w:val="4"/>
          <w:numId w:val="6"/>
        </w:numPr>
        <w:pBdr>
          <w:top w:space="0" w:sz="0" w:val="nil"/>
          <w:left w:space="0" w:sz="0" w:val="nil"/>
          <w:bottom w:space="0" w:sz="0" w:val="nil"/>
          <w:right w:space="0" w:sz="0" w:val="nil"/>
          <w:between w:space="0" w:sz="0" w:val="nil"/>
        </w:pBdr>
        <w:shd w:fill="auto" w:val="clear"/>
        <w:spacing w:after="0" w:before="0" w:line="259" w:lineRule="auto"/>
        <w:ind w:left="1800" w:right="0" w:hanging="360"/>
        <w:jc w:val="left"/>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Tipos de estados de la Solicitud de cambio</w:t>
      </w:r>
    </w:p>
    <w:p w:rsidR="00000000" w:rsidDel="00000000" w:rsidP="00000000" w:rsidRDefault="00000000" w:rsidRPr="00000000" w14:paraId="000002D5">
      <w:pPr>
        <w:keepNext w:val="0"/>
        <w:keepLines w:val="0"/>
        <w:pageBreakBefore w:val="0"/>
        <w:widowControl w:val="1"/>
        <w:numPr>
          <w:ilvl w:val="4"/>
          <w:numId w:val="6"/>
        </w:numPr>
        <w:pBdr>
          <w:top w:space="0" w:sz="0" w:val="nil"/>
          <w:left w:space="0" w:sz="0" w:val="nil"/>
          <w:bottom w:space="0" w:sz="0" w:val="nil"/>
          <w:right w:space="0" w:sz="0" w:val="nil"/>
          <w:between w:space="0" w:sz="0" w:val="nil"/>
        </w:pBdr>
        <w:shd w:fill="auto" w:val="clear"/>
        <w:spacing w:after="0" w:before="0" w:line="259" w:lineRule="auto"/>
        <w:ind w:left="1800" w:right="0" w:hanging="360"/>
        <w:jc w:val="left"/>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Ejemplos de reportes (3)</w:t>
      </w:r>
    </w:p>
    <w:p w:rsidR="00000000" w:rsidDel="00000000" w:rsidP="00000000" w:rsidRDefault="00000000" w:rsidRPr="00000000" w14:paraId="000002D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Estados de la GCS</w:t>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Ejemplos de reporte de estado de Github (Commit, Contribuciones, Ramas)</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B">
      <w:pPr>
        <w:numPr>
          <w:ilvl w:val="1"/>
          <w:numId w:val="5"/>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Evaluación de Impacto y Riesgos de Solicitudes de Cambio</w:t>
      </w:r>
    </w:p>
    <w:p w:rsidR="00000000" w:rsidDel="00000000" w:rsidP="00000000" w:rsidRDefault="00000000" w:rsidRPr="00000000" w14:paraId="000002DC">
      <w:pPr>
        <w:spacing w:after="0" w:lineRule="auto"/>
        <w:ind w:left="720" w:firstLine="0"/>
        <w:rPr>
          <w:rFonts w:ascii="Times New Roman" w:cs="Times New Roman" w:eastAsia="Times New Roman" w:hAnsi="Times New Roman"/>
          <w:b w:val="1"/>
          <w:bCs w:val="1"/>
          <w:highlight w:val="yellow"/>
        </w:rPr>
      </w:pPr>
      <w:r w:rsidDel="00000000" w:rsidR="00000000" w:rsidRPr="00000000">
        <w:rPr>
          <w:rtl w:val="0"/>
        </w:rPr>
      </w:r>
    </w:p>
    <w:p w:rsidR="00000000" w:rsidDel="00000000" w:rsidP="00000000" w:rsidRDefault="00000000" w:rsidRPr="00000000" w14:paraId="000002DD">
      <w:pPr>
        <w:spacing w:after="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3.4.1 Solicitud de Cambio 1 </w:t>
      </w:r>
    </w:p>
    <w:p w:rsidR="00000000" w:rsidDel="00000000" w:rsidP="00000000" w:rsidRDefault="00000000" w:rsidRPr="00000000" w14:paraId="000002DE">
      <w:pPr>
        <w:spacing w:after="0" w:lineRule="auto"/>
        <w:ind w:lef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DF">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3.4.2 Solicitud de Cambio 2</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Auditoria de la GCS</w:t>
      </w:r>
    </w:p>
    <w:p w:rsidR="00000000" w:rsidDel="00000000" w:rsidP="00000000" w:rsidRDefault="00000000" w:rsidRPr="00000000" w14:paraId="000002E8">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440" w:right="0" w:hanging="72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Auditoria Fisica</w:t>
      </w:r>
      <w:r w:rsidDel="00000000" w:rsidR="00000000" w:rsidRPr="00000000">
        <w:rPr>
          <w:rtl w:val="0"/>
        </w:rPr>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Lista de Items que se encuentran en la linea base 3 de un  proyecto</w:t>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C">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440" w:right="0" w:hanging="72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Auditoria Funcional</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E">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CU  atendidas correctamente: </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440" w:right="0" w:firstLine="0"/>
        <w:jc w:val="left"/>
        <w:rPr>
          <w:rFonts w:ascii="Times New Roman" w:cs="Times New Roman" w:eastAsia="Times New Roman" w:hAnsi="Times New Roman"/>
        </w:rPr>
      </w:pPr>
      <w:r w:rsidDel="00000000" w:rsidR="00000000" w:rsidRPr="00000000">
        <w:rPr>
          <w:rtl w:val="0"/>
        </w:rPr>
      </w:r>
    </w:p>
    <w:tbl>
      <w:tblPr>
        <w:tblStyle w:val="Table26"/>
        <w:tblW w:w="6210.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26"/>
        <w:gridCol w:w="1265"/>
        <w:gridCol w:w="1276"/>
        <w:gridCol w:w="1843"/>
        <w:tblGridChange w:id="0">
          <w:tblGrid>
            <w:gridCol w:w="1826"/>
            <w:gridCol w:w="1265"/>
            <w:gridCol w:w="1276"/>
            <w:gridCol w:w="1843"/>
          </w:tblGrid>
        </w:tblGridChange>
      </w:tblGrid>
      <w:tr>
        <w:trPr>
          <w:cantSplit w:val="0"/>
          <w:tblHeader w:val="0"/>
        </w:trPr>
        <w:tc>
          <w:tcPr/>
          <w:p w:rsidR="00000000" w:rsidDel="00000000" w:rsidP="00000000" w:rsidRDefault="00000000" w:rsidRPr="00000000" w14:paraId="000002F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Casos de Usos </w:t>
            </w:r>
            <w:r w:rsidDel="00000000" w:rsidR="00000000" w:rsidRPr="00000000">
              <w:rPr>
                <w:rtl w:val="0"/>
              </w:rPr>
            </w:r>
          </w:p>
        </w:tc>
        <w:tc>
          <w:tcPr/>
          <w:p w:rsidR="00000000" w:rsidDel="00000000" w:rsidP="00000000" w:rsidRDefault="00000000" w:rsidRPr="00000000" w14:paraId="000002F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Fecha de auditoria</w:t>
            </w:r>
          </w:p>
        </w:tc>
        <w:tc>
          <w:tcPr/>
          <w:p w:rsidR="00000000" w:rsidDel="00000000" w:rsidP="00000000" w:rsidRDefault="00000000" w:rsidRPr="00000000" w14:paraId="000002F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Auditor</w:t>
            </w:r>
          </w:p>
          <w:p w:rsidR="00000000" w:rsidDel="00000000" w:rsidP="00000000" w:rsidRDefault="00000000" w:rsidRPr="00000000" w14:paraId="000002F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Estado</w:t>
            </w:r>
          </w:p>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sdt>
              <w:sdtPr>
                <w:id w:val="-1858792746"/>
                <w:tag w:val="goog_rdk_27"/>
              </w:sdtPr>
              <w:sdtContent>
                <w:r w:rsidDel="00000000" w:rsidR="00000000" w:rsidRPr="00000000">
                  <w:rPr>
                    <w:rFonts w:ascii="Gungsuh" w:cs="Gungsuh" w:eastAsia="Gungsuh" w:hAnsi="Gungsuh"/>
                    <w:b w:val="1"/>
                    <w:bCs w:val="1"/>
                    <w:i w:val="0"/>
                    <w:iCs w:val="0"/>
                    <w:smallCaps w:val="0"/>
                    <w:strike w:val="0"/>
                    <w:color w:val="000000"/>
                    <w:sz w:val="22"/>
                    <w:szCs w:val="22"/>
                    <w:u w:val="none"/>
                    <w:shd w:fill="auto" w:val="clear"/>
                    <w:vertAlign w:val="baseline"/>
                    <w:rtl w:val="0"/>
                  </w:rPr>
                  <w:t xml:space="preserve">Cumple (√)</w:t>
                </w:r>
              </w:sdtContent>
            </w:sdt>
          </w:p>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cumple (X)</w:t>
            </w:r>
          </w:p>
        </w:tc>
      </w:tr>
      <w:tr>
        <w:trPr>
          <w:cantSplit w:val="0"/>
          <w:tblHeader w:val="0"/>
        </w:trPr>
        <w:tc>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C</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U01-Toma de decisiones</w:t>
            </w:r>
          </w:p>
        </w:tc>
        <w:tc>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25/11/24</w:t>
            </w:r>
          </w:p>
        </w:tc>
        <w:tc>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Diego Gamarra</w:t>
            </w:r>
          </w:p>
        </w:tc>
        <w:tc>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sdt>
              <w:sdtPr>
                <w:id w:val="1325330542"/>
                <w:tag w:val="goog_rdk_28"/>
              </w:sdtPr>
              <w:sdtContent>
                <w:r w:rsidDel="00000000" w:rsidR="00000000" w:rsidRPr="00000000">
                  <w:rPr>
                    <w:rFonts w:ascii="Gungsuh" w:cs="Gungsuh" w:eastAsia="Gungsuh" w:hAnsi="Gungsuh"/>
                    <w:i w:val="0"/>
                    <w:iCs w:val="0"/>
                    <w:smallCaps w:val="0"/>
                    <w:strike w:val="0"/>
                    <w:color w:val="000000"/>
                    <w:sz w:val="22"/>
                    <w:szCs w:val="22"/>
                    <w:u w:val="none"/>
                    <w:shd w:fill="auto" w:val="clear"/>
                    <w:vertAlign w:val="baseline"/>
                    <w:rtl w:val="0"/>
                  </w:rPr>
                  <w:t xml:space="preserve">√</w:t>
                </w:r>
              </w:sdtContent>
            </w:sdt>
          </w:p>
        </w:tc>
      </w:tr>
      <w:tr>
        <w:trPr>
          <w:cantSplit w:val="0"/>
          <w:tblHeader w:val="0"/>
        </w:trPr>
        <w:tc>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C</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U02-Aprobacion del alumnado</w:t>
            </w:r>
          </w:p>
        </w:tc>
        <w:tc>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25/11/24</w:t>
            </w:r>
          </w:p>
        </w:tc>
        <w:tc>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Diego Gamarra</w:t>
            </w:r>
          </w:p>
        </w:tc>
        <w:tc>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X</w:t>
            </w:r>
          </w:p>
        </w:tc>
      </w:tr>
      <w:tr>
        <w:trPr>
          <w:cantSplit w:val="0"/>
          <w:tblHeader w:val="0"/>
        </w:trPr>
        <w:tc>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2"/>
          <w:szCs w:val="22"/>
          <w:vertAlign w:val="baseline"/>
        </w:rPr>
      </w:pPr>
      <w:r w:rsidDel="00000000" w:rsidR="00000000" w:rsidRPr="00000000">
        <w:rPr>
          <w:rFonts w:ascii="Times New Roman" w:cs="Times New Roman" w:eastAsia="Times New Roman" w:hAnsi="Times New Roman"/>
          <w:b w:val="1"/>
          <w:bCs w:val="1"/>
          <w:rtl w:val="0"/>
        </w:rPr>
        <w:t xml:space="preserve">Gestión</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 de Release y Entrega del Software</w:t>
      </w:r>
      <w:r w:rsidDel="00000000" w:rsidR="00000000" w:rsidRPr="00000000">
        <w:rPr>
          <w:rtl w:val="0"/>
        </w:rPr>
      </w:r>
    </w:p>
    <w:p w:rsidR="00000000" w:rsidDel="00000000" w:rsidP="00000000" w:rsidRDefault="00000000" w:rsidRPr="00000000" w14:paraId="0000030A">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3.6.1 Gestión de Release (Cómo voy a hacer la entrega de los release de los cliente: Diagrama del Repositorio: Carpeta Clientes)</w:t>
      </w:r>
    </w:p>
    <w:p w:rsidR="00000000" w:rsidDel="00000000" w:rsidP="00000000" w:rsidRDefault="00000000" w:rsidRPr="00000000" w14:paraId="0000030B">
      <w:pPr>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30C">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rPr>
        <w:drawing>
          <wp:inline distB="0" distT="0" distL="0" distR="0">
            <wp:extent cx="5399730" cy="3289300"/>
            <wp:effectExtent b="0" l="0" r="0" t="0"/>
            <wp:docPr descr="Diagrama&#10;&#10;Descripción generada automáticamente" id="2" name="image1.png"/>
            <a:graphic>
              <a:graphicData uri="http://schemas.openxmlformats.org/drawingml/2006/picture">
                <pic:pic>
                  <pic:nvPicPr>
                    <pic:cNvPr descr="Diagrama&#10;&#10;Descripción generada automáticamente" id="0" name="image1.png"/>
                    <pic:cNvPicPr preferRelativeResize="0"/>
                  </pic:nvPicPr>
                  <pic:blipFill>
                    <a:blip r:embed="rId8"/>
                    <a:srcRect b="0" l="0" r="0" t="0"/>
                    <a:stretch>
                      <a:fillRect/>
                    </a:stretch>
                  </pic:blipFill>
                  <pic:spPr>
                    <a:xfrm>
                      <a:off x="0" y="0"/>
                      <a:ext cx="539973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3.6.2 Entrega del Software (Pase a producción) </w:t>
      </w:r>
    </w:p>
    <w:p w:rsidR="00000000" w:rsidDel="00000000" w:rsidP="00000000" w:rsidRDefault="00000000" w:rsidRPr="00000000" w14:paraId="000003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Proponer el proceso de pase a producción, actividades, herramientas, etc</w:t>
      </w:r>
    </w:p>
    <w:p w:rsidR="00000000" w:rsidDel="00000000" w:rsidP="00000000" w:rsidRDefault="00000000" w:rsidRPr="00000000" w14:paraId="000003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1">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31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Referencias</w:t>
      </w:r>
    </w:p>
    <w:p w:rsidR="00000000" w:rsidDel="00000000" w:rsidP="00000000" w:rsidRDefault="00000000" w:rsidRPr="00000000" w14:paraId="00000313">
      <w:pPr>
        <w:widowControl w:val="0"/>
        <w:spacing w:after="0" w:line="240" w:lineRule="auto"/>
        <w:ind w:left="720.0000000000001" w:hanging="720.000000000000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Inc. (2024). GitHub documentation. </w:t>
      </w:r>
      <w:hyperlink r:id="rId9">
        <w:r w:rsidDel="00000000" w:rsidR="00000000" w:rsidRPr="00000000">
          <w:rPr>
            <w:rFonts w:ascii="Times New Roman" w:cs="Times New Roman" w:eastAsia="Times New Roman" w:hAnsi="Times New Roman"/>
            <w:color w:val="1155cc"/>
            <w:u w:val="single"/>
            <w:rtl w:val="0"/>
          </w:rPr>
          <w:t xml:space="preserve">https://docs.github.com</w:t>
        </w:r>
      </w:hyperlink>
      <w:r w:rsidDel="00000000" w:rsidR="00000000" w:rsidRPr="00000000">
        <w:rPr>
          <w:rtl w:val="0"/>
        </w:rPr>
      </w:r>
    </w:p>
    <w:p w:rsidR="00000000" w:rsidDel="00000000" w:rsidP="00000000" w:rsidRDefault="00000000" w:rsidRPr="00000000" w14:paraId="00000314">
      <w:pPr>
        <w:widowControl w:val="0"/>
        <w:spacing w:after="0" w:line="240" w:lineRule="auto"/>
        <w:ind w:left="720.0000000000001" w:hanging="720.000000000000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GitLab Inc. (2024). GitLab documentation. </w:t>
      </w:r>
      <w:hyperlink r:id="rId10">
        <w:r w:rsidDel="00000000" w:rsidR="00000000" w:rsidRPr="00000000">
          <w:rPr>
            <w:rFonts w:ascii="Times New Roman" w:cs="Times New Roman" w:eastAsia="Times New Roman" w:hAnsi="Times New Roman"/>
            <w:color w:val="1155cc"/>
            <w:u w:val="single"/>
            <w:rtl w:val="0"/>
          </w:rPr>
          <w:t xml:space="preserve">https://docs.gitlab.com</w:t>
        </w:r>
      </w:hyperlink>
      <w:r w:rsidDel="00000000" w:rsidR="00000000" w:rsidRPr="00000000">
        <w:rPr>
          <w:rtl w:val="0"/>
        </w:rPr>
      </w:r>
    </w:p>
    <w:p w:rsidR="00000000" w:rsidDel="00000000" w:rsidP="00000000" w:rsidRDefault="00000000" w:rsidRPr="00000000" w14:paraId="00000315">
      <w:pPr>
        <w:widowControl w:val="0"/>
        <w:spacing w:after="0" w:line="240" w:lineRule="auto"/>
        <w:ind w:left="720.0000000000001" w:hanging="720.000000000000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Atlassian. (2024). Bitbucket documentation. </w:t>
      </w:r>
      <w:hyperlink r:id="rId11">
        <w:r w:rsidDel="00000000" w:rsidR="00000000" w:rsidRPr="00000000">
          <w:rPr>
            <w:rFonts w:ascii="Times New Roman" w:cs="Times New Roman" w:eastAsia="Times New Roman" w:hAnsi="Times New Roman"/>
            <w:color w:val="1155cc"/>
            <w:u w:val="single"/>
            <w:rtl w:val="0"/>
          </w:rPr>
          <w:t xml:space="preserve">https://support.atlassian.com/bitbucket-cloud</w:t>
        </w:r>
      </w:hyperlink>
      <w:r w:rsidDel="00000000" w:rsidR="00000000" w:rsidRPr="00000000">
        <w:rPr>
          <w:rtl w:val="0"/>
        </w:rPr>
      </w:r>
    </w:p>
    <w:p w:rsidR="00000000" w:rsidDel="00000000" w:rsidP="00000000" w:rsidRDefault="00000000" w:rsidRPr="00000000" w14:paraId="00000316">
      <w:pPr>
        <w:widowControl w:val="0"/>
        <w:spacing w:after="0" w:line="240" w:lineRule="auto"/>
        <w:ind w:left="720.0000000000001" w:hanging="720.000000000000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Microsoft. (2024). Azure DevOps documentation. </w:t>
      </w:r>
      <w:hyperlink r:id="rId12">
        <w:r w:rsidDel="00000000" w:rsidR="00000000" w:rsidRPr="00000000">
          <w:rPr>
            <w:rFonts w:ascii="Times New Roman" w:cs="Times New Roman" w:eastAsia="Times New Roman" w:hAnsi="Times New Roman"/>
            <w:color w:val="1155cc"/>
            <w:u w:val="single"/>
            <w:rtl w:val="0"/>
          </w:rPr>
          <w:t xml:space="preserve">https://learn.microsoft.com/azure/devops</w:t>
        </w:r>
      </w:hyperlink>
      <w:r w:rsidDel="00000000" w:rsidR="00000000" w:rsidRPr="00000000">
        <w:rPr>
          <w:rtl w:val="0"/>
        </w:rPr>
      </w:r>
    </w:p>
    <w:p w:rsidR="00000000" w:rsidDel="00000000" w:rsidP="00000000" w:rsidRDefault="00000000" w:rsidRPr="00000000" w14:paraId="00000317">
      <w:pPr>
        <w:widowControl w:val="0"/>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8">
      <w:pPr>
        <w:spacing w:after="0" w:lineRule="auto"/>
        <w:ind w:left="0" w:firstLine="0"/>
        <w:rPr>
          <w:rFonts w:ascii="Times New Roman" w:cs="Times New Roman" w:eastAsia="Times New Roman" w:hAnsi="Times New Roman"/>
        </w:rPr>
      </w:pPr>
      <w:r w:rsidDel="00000000" w:rsidR="00000000" w:rsidRPr="00000000">
        <w:rPr>
          <w:rtl w:val="0"/>
        </w:rPr>
      </w:r>
    </w:p>
    <w:sectPr>
      <w:footerReference r:id="rId13"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9">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18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18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180"/>
      </w:pPr>
      <w:rPr/>
    </w:lvl>
  </w:abstractNum>
  <w:abstractNum w:abstractNumId="4">
    <w:lvl w:ilvl="0">
      <w:start w:val="2"/>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440" w:hanging="1440"/>
      </w:pPr>
      <w:rPr/>
    </w:lvl>
  </w:abstractNum>
  <w:abstractNum w:abstractNumId="5">
    <w:lvl w:ilvl="0">
      <w:start w:val="3"/>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lvl>
    <w:lvl w:ilvl="3">
      <w:start w:val="1"/>
      <w:numFmt w:val="decimal"/>
      <w:lvlText w:val="%1.%2.%3.%4"/>
      <w:lvlJc w:val="left"/>
      <w:pPr>
        <w:ind w:left="1800" w:hanging="720"/>
      </w:pPr>
      <w:rPr/>
    </w:lvl>
    <w:lvl w:ilvl="4">
      <w:start w:val="1"/>
      <w:numFmt w:val="decimal"/>
      <w:lvlText w:val="%1.%2.%3.%4.%5"/>
      <w:lvlJc w:val="left"/>
      <w:pPr>
        <w:ind w:left="2520" w:hanging="1080"/>
      </w:pPr>
      <w:rPr/>
    </w:lvl>
    <w:lvl w:ilvl="5">
      <w:start w:val="1"/>
      <w:numFmt w:val="decimal"/>
      <w:lvlText w:val="%1.%2.%3.%4.%5.%6"/>
      <w:lvlJc w:val="left"/>
      <w:pPr>
        <w:ind w:left="2880" w:hanging="1080"/>
      </w:pPr>
      <w:rPr/>
    </w:lvl>
    <w:lvl w:ilvl="6">
      <w:start w:val="1"/>
      <w:numFmt w:val="decimal"/>
      <w:lvlText w:val="%1.%2.%3.%4.%5.%6.%7"/>
      <w:lvlJc w:val="left"/>
      <w:pPr>
        <w:ind w:left="3600" w:hanging="1440"/>
      </w:pPr>
      <w:rPr/>
    </w:lvl>
    <w:lvl w:ilvl="7">
      <w:start w:val="1"/>
      <w:numFmt w:val="decimal"/>
      <w:lvlText w:val="%1.%2.%3.%4.%5.%6.%7.%8"/>
      <w:lvlJc w:val="left"/>
      <w:pPr>
        <w:ind w:left="3960" w:hanging="1440"/>
      </w:pPr>
      <w:rPr/>
    </w:lvl>
    <w:lvl w:ilvl="8">
      <w:start w:val="1"/>
      <w:numFmt w:val="decimal"/>
      <w:lvlText w:val="%1.%2.%3.%4.%5.%6.%7.%8.%9"/>
      <w:lvlJc w:val="left"/>
      <w:pPr>
        <w:ind w:left="4320" w:hanging="1440"/>
      </w:pPr>
      <w:rPr/>
    </w:lvl>
  </w:abstractNum>
  <w:abstractNum w:abstractNumId="6">
    <w:lvl w:ilvl="0">
      <w:start w:val="3"/>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lvl>
    <w:lvl w:ilvl="3">
      <w:start w:val="1"/>
      <w:numFmt w:val="decimal"/>
      <w:lvlText w:val="%1.%2.%3.%4"/>
      <w:lvlJc w:val="left"/>
      <w:pPr>
        <w:ind w:left="1800" w:hanging="720"/>
      </w:pPr>
      <w:rPr/>
    </w:lvl>
    <w:lvl w:ilvl="4">
      <w:start w:val="1"/>
      <w:numFmt w:val="lowerLetter"/>
      <w:lvlText w:val="%5)"/>
      <w:lvlJc w:val="left"/>
      <w:pPr>
        <w:ind w:left="1800" w:hanging="360"/>
      </w:pPr>
      <w:rPr/>
    </w:lvl>
    <w:lvl w:ilvl="5">
      <w:start w:val="1"/>
      <w:numFmt w:val="decimal"/>
      <w:lvlText w:val="%1.%2.%3.%4.%5.%6"/>
      <w:lvlJc w:val="left"/>
      <w:pPr>
        <w:ind w:left="2880" w:hanging="1080"/>
      </w:pPr>
      <w:rPr/>
    </w:lvl>
    <w:lvl w:ilvl="6">
      <w:start w:val="1"/>
      <w:numFmt w:val="decimal"/>
      <w:lvlText w:val="%1.%2.%3.%4.%5.%6.%7"/>
      <w:lvlJc w:val="left"/>
      <w:pPr>
        <w:ind w:left="3600" w:hanging="1440"/>
      </w:pPr>
      <w:rPr/>
    </w:lvl>
    <w:lvl w:ilvl="7">
      <w:start w:val="1"/>
      <w:numFmt w:val="decimal"/>
      <w:lvlText w:val="%1.%2.%3.%4.%5.%6.%7.%8"/>
      <w:lvlJc w:val="left"/>
      <w:pPr>
        <w:ind w:left="3960" w:hanging="1440"/>
      </w:pPr>
      <w:rPr/>
    </w:lvl>
    <w:lvl w:ilvl="8">
      <w:start w:val="1"/>
      <w:numFmt w:val="decimal"/>
      <w:lvlText w:val="%1.%2.%3.%4.%5.%6.%7.%8.%9"/>
      <w:lvlJc w:val="left"/>
      <w:pPr>
        <w:ind w:left="4320" w:hanging="144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support.atlassian.com/bitbucket-cloud" TargetMode="External"/><Relationship Id="rId10" Type="http://schemas.openxmlformats.org/officeDocument/2006/relationships/hyperlink" Target="https://docs.gitlab.com" TargetMode="External"/><Relationship Id="rId13" Type="http://schemas.openxmlformats.org/officeDocument/2006/relationships/footer" Target="footer1.xml"/><Relationship Id="rId12" Type="http://schemas.openxmlformats.org/officeDocument/2006/relationships/hyperlink" Target="https://learn.microsoft.com/azure/devop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ithub.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Ypke5AKXgUlVpHp1ovVroLPoiw==">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