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3zgunu5rqbe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60" w:before="240" w:line="240" w:lineRule="auto"/>
        <w:jc w:val="center"/>
        <w:rPr>
          <w:vertAlign w:val="baseline"/>
        </w:rPr>
      </w:pPr>
      <w:bookmarkStart w:colFirst="0" w:colLast="0" w:name="_heading=h.gitaarlqvq4d" w:id="1"/>
      <w:bookmarkEnd w:id="1"/>
      <w:r w:rsidDel="00000000" w:rsidR="00000000" w:rsidRPr="00000000">
        <w:rPr>
          <w:vertAlign w:val="baseline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epn1kufp8ow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240" w:line="240" w:lineRule="auto"/>
        <w:jc w:val="center"/>
        <w:rPr>
          <w:vertAlign w:val="baseline"/>
        </w:rPr>
      </w:pPr>
      <w:bookmarkStart w:colFirst="0" w:colLast="0" w:name="_heading=h.jbtbu97bbji2" w:id="3"/>
      <w:bookmarkEnd w:id="3"/>
      <w:r w:rsidDel="00000000" w:rsidR="00000000" w:rsidRPr="00000000">
        <w:rPr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pStyle w:val="Heading1"/>
        <w:spacing w:after="60" w:before="240" w:line="240" w:lineRule="auto"/>
        <w:jc w:val="center"/>
        <w:rPr>
          <w:vertAlign w:val="baseline"/>
        </w:rPr>
      </w:pPr>
      <w:bookmarkStart w:colFirst="0" w:colLast="0" w:name="_heading=h.5qihnuyyxes6" w:id="4"/>
      <w:bookmarkEnd w:id="4"/>
      <w:r w:rsidDel="00000000" w:rsidR="00000000" w:rsidRPr="00000000">
        <w:rPr>
          <w:vertAlign w:val="baseline"/>
          <w:rtl w:val="0"/>
        </w:rPr>
        <w:t xml:space="preserve">CU</w:t>
      </w:r>
      <w:r w:rsidDel="00000000" w:rsidR="00000000" w:rsidRPr="00000000">
        <w:rPr>
          <w:rtl w:val="0"/>
        </w:rPr>
        <w:t xml:space="preserve">03</w:t>
      </w:r>
      <w:r w:rsidDel="00000000" w:rsidR="00000000" w:rsidRPr="00000000">
        <w:rPr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Sincronizar fuentes externas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Lima, Mayo  del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tabs>
          <w:tab w:val="left" w:leader="none" w:pos="1815"/>
          <w:tab w:val="left" w:leader="none" w:pos="1815"/>
        </w:tabs>
        <w:jc w:val="center"/>
        <w:rPr>
          <w:vertAlign w:val="baseline"/>
        </w:rPr>
      </w:pPr>
      <w:bookmarkStart w:colFirst="0" w:colLast="0" w:name="_heading=h.unhbjoarii36" w:id="5"/>
      <w:bookmarkEnd w:id="5"/>
      <w:r w:rsidDel="00000000" w:rsidR="00000000" w:rsidRPr="00000000">
        <w:rPr>
          <w:vertAlign w:val="baseline"/>
          <w:rtl w:val="0"/>
        </w:rPr>
        <w:t xml:space="preserve">Control de Versiones</w:t>
      </w:r>
    </w:p>
    <w:tbl>
      <w:tblPr>
        <w:tblStyle w:val="Table1"/>
        <w:tblpPr w:leftFromText="141" w:rightFromText="141" w:topFromText="0" w:bottomFromText="0" w:vertAnchor="text" w:horzAnchor="text" w:tblpX="0" w:tblpY="2430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/05/2026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Axel Cueva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5"/>
        </w:tabs>
        <w:spacing w:after="120" w:before="6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515537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20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btbu97bbji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 Caso de Uso: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20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ihnuyyxes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CU03-Sincronizar fuentes externas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hbjoarii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626wvgn2la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5j1lkel7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p6fi6uu53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qsegwe7be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vjuaexld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4ixljnjv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tma3ccs961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ld3r87idq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6qc39tj0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k3et7jmm6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7gdz2r897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uugfeuztx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cdtdb385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d0hj8ln74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vjsv6khww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 Prototipos visuales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1a5168z06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Requerimientos no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Style w:val="Heading2"/>
        <w:keepNext w:val="1"/>
        <w:pageBreakBefore w:val="1"/>
        <w:numPr>
          <w:ilvl w:val="0"/>
          <w:numId w:val="7"/>
        </w:numPr>
        <w:tabs>
          <w:tab w:val="left" w:leader="none" w:pos="1815"/>
        </w:tabs>
        <w:spacing w:after="360" w:before="360" w:lineRule="auto"/>
        <w:ind w:left="1578" w:hanging="360"/>
        <w:jc w:val="center"/>
        <w:rPr/>
      </w:pPr>
      <w:bookmarkStart w:colFirst="0" w:colLast="0" w:name="_heading=h.s626wvgn2la7" w:id="6"/>
      <w:bookmarkEnd w:id="6"/>
      <w:r w:rsidDel="00000000" w:rsidR="00000000" w:rsidRPr="00000000">
        <w:rPr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bookmarkStart w:colFirst="0" w:colLast="0" w:name="_heading=h.9z7emc7nnnq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2x5j1lkel77v" w:id="8"/>
      <w:bookmarkEnd w:id="8"/>
      <w:r w:rsidDel="00000000" w:rsidR="00000000" w:rsidRPr="00000000">
        <w:rPr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76" w:firstLine="0"/>
        <w:rPr>
          <w:vertAlign w:val="baseline"/>
        </w:rPr>
      </w:pPr>
      <w:bookmarkStart w:colFirst="0" w:colLast="0" w:name="_heading=h.ypz9kl6ynzvv" w:id="9"/>
      <w:bookmarkEnd w:id="9"/>
      <w:r w:rsidDel="00000000" w:rsidR="00000000" w:rsidRPr="00000000">
        <w:rPr>
          <w:rtl w:val="0"/>
        </w:rPr>
        <w:t xml:space="preserve">Automatizar íntegramente la captura, unificación y actualización del ciclo de vida de la investigación en la facultad. Este caso de uso elimina la fragmentación de datos al consolidar la información de proyectos, entregables, estados de vigencia e historial de producción directamente desde las plataformas oficiales, transformando la labor administrativa de "búsqueda y digitación" en una de "supervisión y análisis".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jp6fi6uu539s" w:id="10"/>
      <w:bookmarkEnd w:id="10"/>
      <w:r w:rsidDel="00000000" w:rsidR="00000000" w:rsidRPr="00000000">
        <w:rPr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576" w:firstLine="0"/>
        <w:rPr>
          <w:vertAlign w:val="baseline"/>
        </w:rPr>
      </w:pPr>
      <w:bookmarkStart w:colFirst="0" w:colLast="0" w:name="_heading=h.ltjsuu9o39en" w:id="11"/>
      <w:bookmarkEnd w:id="11"/>
      <w:r w:rsidDel="00000000" w:rsidR="00000000" w:rsidRPr="00000000">
        <w:rPr>
          <w:rtl w:val="0"/>
        </w:rPr>
        <w:t xml:space="preserve">Comprende la ejecución de motores de extracción (</w:t>
      </w:r>
      <w:r w:rsidDel="00000000" w:rsidR="00000000" w:rsidRPr="00000000">
        <w:rPr>
          <w:i w:val="1"/>
          <w:iCs w:val="1"/>
          <w:rtl w:val="0"/>
        </w:rPr>
        <w:t xml:space="preserve">scraping</w:t>
      </w:r>
      <w:r w:rsidDel="00000000" w:rsidR="00000000" w:rsidRPr="00000000">
        <w:rPr>
          <w:rtl w:val="0"/>
        </w:rPr>
        <w:t xml:space="preserve"> y conectores API) para las fuentes RAIS, VRIP, RENACYT y Cybertesis. Incluye la descarga de metadatos, la vinculación automática de productos con sus proyectos de origen y la aplicación de reglas de negocio para el cálculo de estados (Aprobado, Finalizado, En Deuda) basándose en los plazos de 12 y 36 meses. También abarca la reconstrucción del historial de proyectos por docente para alimentar el perfil del investigador.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hqsegwe7be3b" w:id="12"/>
      <w:bookmarkEnd w:id="12"/>
      <w:r w:rsidDel="00000000" w:rsidR="00000000" w:rsidRPr="00000000">
        <w:rPr>
          <w:vertAlign w:val="baseline"/>
          <w:rtl w:val="0"/>
        </w:rPr>
        <w:t xml:space="preserve">Definiciones, siglas y abreviaciones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/>
      </w:pPr>
      <w:bookmarkStart w:colFirst="0" w:colLast="0" w:name="_heading=h.dvmycq33lb8r" w:id="13"/>
      <w:bookmarkEnd w:id="13"/>
      <w:r w:rsidDel="00000000" w:rsidR="00000000" w:rsidRPr="00000000">
        <w:rPr>
          <w:b w:val="1"/>
          <w:bCs w:val="1"/>
          <w:rtl w:val="0"/>
        </w:rPr>
        <w:t xml:space="preserve">RAIS: </w:t>
      </w:r>
      <w:r w:rsidDel="00000000" w:rsidR="00000000" w:rsidRPr="00000000">
        <w:rPr>
          <w:rtl w:val="0"/>
        </w:rPr>
        <w:t xml:space="preserve">Registro de Actividades de Investigación de la UNMSM.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VRIP: </w:t>
      </w:r>
      <w:r w:rsidDel="00000000" w:rsidR="00000000" w:rsidRPr="00000000">
        <w:rPr>
          <w:rtl w:val="0"/>
        </w:rPr>
        <w:t xml:space="preserve">Vicerrectorado de Investigación y Posgrado.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Cybertesis: </w:t>
      </w:r>
      <w:r w:rsidDel="00000000" w:rsidR="00000000" w:rsidRPr="00000000">
        <w:rPr>
          <w:rtl w:val="0"/>
        </w:rPr>
        <w:t xml:space="preserve">Repositorio institucional de tesis.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RENACYT: </w:t>
      </w:r>
      <w:r w:rsidDel="00000000" w:rsidR="00000000" w:rsidRPr="00000000">
        <w:rPr>
          <w:rtl w:val="0"/>
        </w:rPr>
        <w:t xml:space="preserve">Registro Nacional de Investigadores de CTI (CONCYTEC).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Scraping: </w:t>
      </w:r>
      <w:r w:rsidDel="00000000" w:rsidR="00000000" w:rsidRPr="00000000">
        <w:rPr>
          <w:rtl w:val="0"/>
        </w:rPr>
        <w:t xml:space="preserve">Técnica de navegación automatizada para extraer datos de portales web.</w:t>
      </w:r>
    </w:p>
    <w:p w:rsidR="00000000" w:rsidDel="00000000" w:rsidP="00000000" w:rsidRDefault="00000000" w:rsidRPr="00000000" w14:paraId="00000057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45vjuaexldw7" w:id="14"/>
      <w:bookmarkEnd w:id="14"/>
      <w:r w:rsidDel="00000000" w:rsidR="00000000" w:rsidRPr="00000000">
        <w:rPr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l0f0g7hd4toh" w:id="15"/>
      <w:bookmarkEnd w:id="15"/>
      <w:r w:rsidDel="00000000" w:rsidR="00000000" w:rsidRPr="00000000">
        <w:rPr>
          <w:b w:val="1"/>
          <w:bCs w:val="1"/>
          <w:rtl w:val="0"/>
        </w:rPr>
        <w:t xml:space="preserve">Ley Universitaria N° 30220: </w:t>
      </w:r>
      <w:r w:rsidDel="00000000" w:rsidR="00000000" w:rsidRPr="00000000">
        <w:rPr>
          <w:rtl w:val="0"/>
        </w:rPr>
        <w:t xml:space="preserve">Art. 48 sobre la transparencia y fomento de la investigación.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Estatuto de la UNMSM: </w:t>
      </w:r>
      <w:r w:rsidDel="00000000" w:rsidR="00000000" w:rsidRPr="00000000">
        <w:rPr>
          <w:rtl w:val="0"/>
        </w:rPr>
        <w:t xml:space="preserve">Art. 147 sobre la gestión de los institutos de investigación.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Reglamento de Investigación UNMSM (RR N° 02127-R-17): </w:t>
      </w:r>
      <w:r w:rsidDel="00000000" w:rsidR="00000000" w:rsidRPr="00000000">
        <w:rPr>
          <w:rtl w:val="0"/>
        </w:rPr>
        <w:t xml:space="preserve">Normas sobre registro de proyectos, asesorías y plazos de informes.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Directiva N° 001-2022-OGTI-UNMSM: </w:t>
      </w:r>
      <w:r w:rsidDel="00000000" w:rsidR="00000000" w:rsidRPr="00000000">
        <w:rPr>
          <w:rtl w:val="0"/>
        </w:rPr>
        <w:t xml:space="preserve">Protocolos de seguridad de datos institucionales.</w:t>
      </w:r>
    </w:p>
    <w:p w:rsidR="00000000" w:rsidDel="00000000" w:rsidP="00000000" w:rsidRDefault="00000000" w:rsidRPr="00000000" w14:paraId="0000005C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lo4ixljnjvtp" w:id="16"/>
      <w:bookmarkEnd w:id="16"/>
      <w:r w:rsidDel="00000000" w:rsidR="00000000" w:rsidRPr="00000000">
        <w:rPr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576" w:firstLine="0"/>
        <w:rPr>
          <w:vertAlign w:val="baseline"/>
        </w:rPr>
      </w:pPr>
      <w:r w:rsidDel="00000000" w:rsidR="00000000" w:rsidRPr="00000000">
        <w:rPr>
          <w:rtl w:val="0"/>
        </w:rPr>
        <w:t xml:space="preserve">La Secretaria activa la sincronización masiva; el sistema se conecta a las fuentes externas, extrae la producción y los proyectos nuevos, evalúa automáticamente el cumplimiento de plazos (entregables) y actualiza el historial de los investigadores en la base de datos centralizada.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bookmarkStart w:colFirst="0" w:colLast="0" w:name="_heading=h.feft9nbexm5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1"/>
        <w:pageBreakBefore w:val="1"/>
        <w:numPr>
          <w:ilvl w:val="0"/>
          <w:numId w:val="7"/>
        </w:numPr>
        <w:tabs>
          <w:tab w:val="left" w:leader="none" w:pos="1815"/>
        </w:tabs>
        <w:spacing w:after="360" w:before="360" w:lineRule="auto"/>
        <w:ind w:left="1578" w:hanging="360"/>
        <w:jc w:val="center"/>
        <w:rPr/>
      </w:pPr>
      <w:bookmarkStart w:colFirst="0" w:colLast="0" w:name="_heading=h.ftma3ccs961v" w:id="18"/>
      <w:bookmarkEnd w:id="18"/>
      <w:r w:rsidDel="00000000" w:rsidR="00000000" w:rsidRPr="00000000">
        <w:rPr>
          <w:vertAlign w:val="baseline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vqld3r87idqk" w:id="19"/>
      <w:bookmarkEnd w:id="19"/>
      <w:r w:rsidDel="00000000" w:rsidR="00000000" w:rsidRPr="00000000">
        <w:rPr>
          <w:vertAlign w:val="baseline"/>
          <w:rtl w:val="0"/>
        </w:rPr>
        <w:t xml:space="preserve">Diagrama de Casos de Usos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0"/>
          <w:bCs w:val="0"/>
          <w:sz w:val="18"/>
          <w:szCs w:val="18"/>
          <w:vertAlign w:val="baseline"/>
        </w:rPr>
      </w:pPr>
      <w:bookmarkStart w:colFirst="0" w:colLast="0" w:name="_heading=h.kw9tgrgxf1vu" w:id="20"/>
      <w:bookmarkEnd w:id="20"/>
      <w:r w:rsidDel="00000000" w:rsidR="00000000" w:rsidRPr="00000000">
        <w:rPr/>
        <w:drawing>
          <wp:inline distB="114300" distT="114300" distL="114300" distR="114300">
            <wp:extent cx="6115547" cy="40231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547" cy="402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pv6qc39tj0rg" w:id="21"/>
      <w:bookmarkEnd w:id="21"/>
      <w:r w:rsidDel="00000000" w:rsidR="00000000" w:rsidRPr="00000000">
        <w:rPr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426" w:firstLine="0"/>
        <w:rPr>
          <w:vertAlign w:val="baseline"/>
        </w:rPr>
      </w:pPr>
      <w:bookmarkStart w:colFirst="0" w:colLast="0" w:name="_heading=h.8iu93ys6322f" w:id="22"/>
      <w:bookmarkEnd w:id="22"/>
      <w:r w:rsidDel="00000000" w:rsidR="00000000" w:rsidRPr="00000000">
        <w:rPr>
          <w:rtl w:val="0"/>
        </w:rPr>
        <w:t xml:space="preserve">Unifica los procesos de registro de proyectos, seguimiento de entregables y consulta de historial mediante la automatización de la ingesta de datos externos, garantizando que el SGPI sea el espejo actualizado de la realidad científica de la facultad.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2uk3et7jmm61" w:id="23"/>
      <w:bookmarkEnd w:id="23"/>
      <w:r w:rsidDel="00000000" w:rsidR="00000000" w:rsidRPr="00000000">
        <w:rPr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426"/>
        <w:rPr>
          <w:vertAlign w:val="baseline"/>
        </w:rPr>
      </w:pPr>
      <w:bookmarkStart w:colFirst="0" w:colLast="0" w:name="_heading=h.hsnazhesyg2" w:id="24"/>
      <w:bookmarkEnd w:id="24"/>
      <w:r w:rsidDel="00000000" w:rsidR="00000000" w:rsidRPr="00000000">
        <w:rPr>
          <w:rtl w:val="0"/>
        </w:rPr>
        <w:t xml:space="preserve">Secretaria de la Unidad de Investigación.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w67gdz2r8975" w:id="25"/>
      <w:bookmarkEnd w:id="25"/>
      <w:r w:rsidDel="00000000" w:rsidR="00000000" w:rsidRPr="00000000">
        <w:rPr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0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usuario debe estar autenticada en el sistema.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0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Conexión a Internet activa y disponibilidad de los portales externos (RAIS/Cybertesis/RENACYT).</w:t>
      </w:r>
    </w:p>
    <w:p w:rsidR="00000000" w:rsidDel="00000000" w:rsidP="00000000" w:rsidRDefault="00000000" w:rsidRPr="00000000" w14:paraId="0000006B">
      <w:pPr>
        <w:ind w:left="426" w:firstLine="0"/>
        <w:rPr>
          <w:vertAlign w:val="baseline"/>
        </w:rPr>
      </w:pPr>
      <w:bookmarkStart w:colFirst="0" w:colLast="0" w:name="_heading=h.f327kl3niw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y0uugfeuztxu" w:id="27"/>
      <w:bookmarkEnd w:id="27"/>
      <w:r w:rsidDel="00000000" w:rsidR="00000000" w:rsidRPr="00000000">
        <w:rPr>
          <w:vertAlign w:val="baseline"/>
          <w:rtl w:val="0"/>
        </w:rPr>
        <w:t xml:space="preserve">Pos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426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  <w:t xml:space="preserve">La base de datos PostgreSQL queda actualizada con nuevos proyectos, publicaciones y tesis. Los estados de los proyectos se recalculan automáticamente.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4ecdtdb385ac" w:id="28"/>
      <w:bookmarkEnd w:id="28"/>
      <w:r w:rsidDel="00000000" w:rsidR="00000000" w:rsidRPr="00000000">
        <w:rPr>
          <w:vertAlign w:val="baseline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bookmarkStart w:colFirst="0" w:colLast="0" w:name="_heading=h.7e4jbo582zn1" w:id="29"/>
      <w:bookmarkEnd w:id="29"/>
      <w:r w:rsidDel="00000000" w:rsidR="00000000" w:rsidRPr="00000000">
        <w:rPr>
          <w:sz w:val="22"/>
          <w:szCs w:val="22"/>
          <w:rtl w:val="0"/>
        </w:rPr>
        <w:t xml:space="preserve">El usuario accede al panel de "Sincronización Global" y selecciona la(s) fuente(s) a procesar (RAIS, VRIP, RENACYT, Cybertesis).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establece conexión con los servidores externos [EX1].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usuario define el rango de fechas o el ciclo académico de interés.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ejecuta los scripts de extracción (ej.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SGPI-CYB.py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SGPI-RAIS.py</w:t>
      </w:r>
      <w:r w:rsidDel="00000000" w:rsidR="00000000" w:rsidRPr="00000000">
        <w:rPr>
          <w:sz w:val="22"/>
          <w:szCs w:val="22"/>
          <w:rtl w:val="0"/>
        </w:rPr>
        <w:t xml:space="preserve">) para recuperar los registros.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mapea los datos extraídos (Resoluciones, DOI, DNI) contra la base de datos local para evitar duplicados.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Actualización de Ciclo de Vida:</w:t>
      </w:r>
      <w:r w:rsidDel="00000000" w:rsidR="00000000" w:rsidRPr="00000000">
        <w:rPr>
          <w:sz w:val="22"/>
          <w:szCs w:val="22"/>
          <w:rtl w:val="0"/>
        </w:rPr>
        <w:t xml:space="preserve"> El sistema evalúa si han transcurrido 12 o 36 meses desde la fecha de inicio de cada proyecto para cambiar automáticamente el estado a "En Deuda" si no se detectan informes registrados.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Unificación de Historial:</w:t>
      </w:r>
      <w:r w:rsidDel="00000000" w:rsidR="00000000" w:rsidRPr="00000000">
        <w:rPr>
          <w:sz w:val="22"/>
          <w:szCs w:val="22"/>
          <w:rtl w:val="0"/>
        </w:rPr>
        <w:t xml:space="preserve"> El sistema vincula cada nuevo producto (tesis o artículo) al docente correspondiente y al proyecto de origen, reconstruyendo la trayectoria del investigador.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presenta un reporte detallado de los cambios realizados y alertas de inconsistencias. El caso de uso termina.</w:t>
      </w:r>
    </w:p>
    <w:p w:rsidR="00000000" w:rsidDel="00000000" w:rsidP="00000000" w:rsidRDefault="00000000" w:rsidRPr="00000000" w14:paraId="00000077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xvd0hj8ln74l" w:id="30"/>
      <w:bookmarkEnd w:id="30"/>
      <w:r w:rsidDel="00000000" w:rsidR="00000000" w:rsidRPr="00000000">
        <w:rPr>
          <w:vertAlign w:val="baseline"/>
          <w:rtl w:val="0"/>
        </w:rPr>
        <w:t xml:space="preserve">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[EX1]: Disponibilidad de portales externos (RAIS, Cybertesis, RENACYT)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intenta conectar y navegar (scraping) en las fuentes externas según los filtros definidos.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el portal externo no responde o ha cambiado su estructura web, el sistema le muestra una alerta en la consola con el siguiente mensaje: "Error de conexión o cambio de estructura en la fuente. No se pudo completar la extracción".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caso de uso termina para esa fuente específica.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[EX2]: Lectura de documentos y metadatos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intenta extraer los metadatos o aplicar OCR a los archivos PDF (como tesis o resoluciones).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el PDF está protegido o carece de campos legibles, el sistema le muestra una alerta en la tabla de resumen con el siguiente mensaje: "Documento ilegible o protegido. Pendiente de revisión manual".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caso de uso continúa con el siguiente documento en la cola de extracción.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40" w:lineRule="auto"/>
        <w:ind w:left="42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edvjsv6khwwg" w:id="31"/>
      <w:bookmarkEnd w:id="31"/>
      <w:r w:rsidDel="00000000" w:rsidR="00000000" w:rsidRPr="00000000">
        <w:rPr>
          <w:vertAlign w:val="baseline"/>
          <w:rtl w:val="0"/>
        </w:rPr>
        <w:t xml:space="preserve">Prototipos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431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1: Panel de Control de Sincronización Global</w:t>
      </w:r>
      <w:r w:rsidDel="00000000" w:rsidR="00000000" w:rsidRPr="00000000">
        <w:rPr>
          <w:rtl w:val="0"/>
        </w:rPr>
        <w:t xml:space="preserve"> Funciona como el orquestador principal para los motores de extracción automatizada y web scraping. Permite a la Secretaria configurar los parámetros de búsqueda (como el año o la escuela académica) y lanzar los conectores hacia las plataformas oficiales (Cybertesis, RENACYT, VRIP, RAIS). Su interfaz indica el estado de salud y conexión de cada fuente externa antes de permitir la ejecución de las descargas masivas. 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431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2: Consola de Resultados e Historial</w:t>
      </w:r>
      <w:r w:rsidDel="00000000" w:rsidR="00000000" w:rsidRPr="00000000">
        <w:rPr>
          <w:rtl w:val="0"/>
        </w:rPr>
        <w:t xml:space="preserve"> Su función es transparentar el trabajo de fondo que realiza el sistema durante la sincronización. A través de una terminal de eventos en tiempo real, la Secretaria puede monitorear cada acción automatizada: desde la lectura de metadatos, el cruce de nombres de asesores, hasta el cálculo interno de plazos (12 o 36 meses). Concluye mostrando una tabla resumen con las alertas operativas que requieren revisión humana (ej. un PDF bloqueado o un DNI no encontrado). </w:t>
      </w:r>
    </w:p>
    <w:p w:rsidR="00000000" w:rsidDel="00000000" w:rsidP="00000000" w:rsidRDefault="00000000" w:rsidRPr="00000000" w14:paraId="00000086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at1a5168z06f" w:id="32"/>
      <w:bookmarkEnd w:id="32"/>
      <w:r w:rsidDel="00000000" w:rsidR="00000000" w:rsidRPr="00000000">
        <w:rPr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0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Rendimiento: </w:t>
      </w:r>
      <w:r w:rsidDel="00000000" w:rsidR="00000000" w:rsidRPr="00000000">
        <w:rPr>
          <w:rtl w:val="0"/>
        </w:rPr>
        <w:t xml:space="preserve">El procesamiento de un lote de sincronización completo (proyectos y tesis) no debe superar los 10 minutos.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0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Integridad: </w:t>
      </w:r>
      <w:r w:rsidDel="00000000" w:rsidR="00000000" w:rsidRPr="00000000">
        <w:rPr>
          <w:rtl w:val="0"/>
        </w:rPr>
        <w:t xml:space="preserve">El sistema debe asegurar que los cruces de nombres de docentes se realicen mediante identificadores únicos (DNI/ORCID) para evitar homonimias.</w:t>
      </w:r>
    </w:p>
    <w:p w:rsidR="00000000" w:rsidDel="00000000" w:rsidP="00000000" w:rsidRDefault="00000000" w:rsidRPr="00000000" w14:paraId="00000089">
      <w:pPr>
        <w:spacing w:after="280" w:before="280" w:line="240" w:lineRule="auto"/>
        <w:ind w:left="42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58" w:hanging="432.00000000000006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578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578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38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38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298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298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658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658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3018" w:hanging="180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="240" w:lineRule="auto"/>
      <w:jc w:val="center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1815"/>
      </w:tabs>
      <w:jc w:val="center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576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40" w:lin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445kwhHFWuO+MOzqGMheIJEqVw==">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