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ai의-정보처리와-매니저-판단이-발주-의사결정에-미치는-영향"/>
    <w:p>
      <w:pPr>
        <w:pStyle w:val="Heading1"/>
      </w:pPr>
      <w:r>
        <w:t xml:space="preserve">AI의 정보처리와 매니저 판단이 발주 의사결정에 미치는 영향</w:t>
      </w:r>
    </w:p>
    <w:p>
      <w:pPr>
        <w:pStyle w:val="FirstParagraph"/>
      </w:pPr>
      <w:r>
        <w:t xml:space="preserve">2026-10-10 갱신. 이 문서가 현재 연구계획의 기준이다. Word 배포본은</w:t>
      </w:r>
      <w:r>
        <w:t xml:space="preserve"> </w:t>
      </w:r>
      <w:hyperlink r:id="rId20">
        <w:r>
          <w:rPr>
            <w:rStyle w:val="Hyperlink"/>
          </w:rPr>
          <w:t xml:space="preserve">proposal.docx</w:t>
        </w:r>
      </w:hyperlink>
      <w:r>
        <w:t xml:space="preserve">, 실행·식별 명세는</w:t>
      </w:r>
      <w:r>
        <w:t xml:space="preserve"> </w:t>
      </w:r>
      <w:hyperlink r:id="rId21">
        <w:r>
          <w:rPr>
            <w:rStyle w:val="Hyperlink"/>
          </w:rPr>
          <w:t xml:space="preserve">protocol.md</w:t>
        </w:r>
      </w:hyperlink>
      <w:r>
        <w:t xml:space="preserve">, 과거 기록은</w:t>
      </w:r>
      <w:r>
        <w:t xml:space="preserve"> </w:t>
      </w:r>
      <w:hyperlink r:id="rId22">
        <w:r>
          <w:rPr>
            <w:rStyle w:val="Hyperlink"/>
          </w:rPr>
          <w:t xml:space="preserve">experiment-history.md</w:t>
        </w:r>
      </w:hyperlink>
      <w:r>
        <w:t xml:space="preserve">에 둔다. 문서·판매 이력으로 Newsvendor 모수를 구성하고 부족한 정보를 매니저에게 묻는 원래 범위를 유지한다.</w:t>
      </w:r>
    </w:p>
    <w:bookmarkStart w:id="23" w:name="연구-목적과-기여"/>
    <w:p>
      <w:pPr>
        <w:pStyle w:val="Heading2"/>
      </w:pPr>
      <w:r>
        <w:t xml:space="preserve">1. 연구 목적과 기여</w:t>
      </w:r>
    </w:p>
    <w:p>
      <w:pPr>
        <w:pStyle w:val="FirstParagraph"/>
      </w:pPr>
      <w:r>
        <w:t xml:space="preserve">연구 질문은</w:t>
      </w:r>
      <w:r>
        <w:t xml:space="preserve"> </w:t>
      </w:r>
      <w:r>
        <w:rPr>
          <w:b/>
          <w:bCs/>
        </w:rPr>
        <w:t xml:space="preserve">AI가 의사결정에 필요한 정보를 어떻게 개선하며, 어떤 경제적 조건에서 그 개선과 매니저 질문이 발주 손실을 줄이는가</w:t>
      </w:r>
      <w:r>
        <w:t xml:space="preserve">이다. 수리 모형으로 오류와 정보 요청의 경제적 경로를 설명하고, 통제 실험과 회귀분석으로 효과의 크기·이질성·한계를 측정한다. ModernBERT와 작은 수요 GRU는 이 관계를 관측하는 고정된 실험 도구로 사용한다. 추가 모델 개발은 분석에서 확인한 병목과 연결할 때 수행한다.</w:t>
      </w:r>
    </w:p>
    <w:p>
      <w:pPr>
        <w:pStyle w:val="BodyText"/>
      </w:pPr>
      <w:r>
        <w:t xml:space="preserve">예측과 보수를 정하는 판단의 구분은 Agrawal 등의 연구 [1]와 연결된다. 예측 정확도보다 후속 의사결정 손실을 평가하는 관점은 Elmachtoub와 Grigas [2]에 근거한다. 이 연구의 분석 대상은 문서에서 얻는 사실, 판매에서 추정하는 수요, 매니저가 선택하는 선호가 서로 다른 경로로 같은 발주 결정에 들어가는 과정이다. 이 결합만으로 학술적 신규성이 입증됐다고 주장하지 않으며, 후속 문헌 검토와 새로운 검증이 필요하다.</w:t>
      </w:r>
    </w:p>
    <w:p>
      <w:pPr>
        <w:pStyle w:val="BodyText"/>
      </w:pPr>
      <w:r>
        <w:t xml:space="preserve">현재 사람 참여자는 0명이다. 매니저 응답은 통제 환경의 응답이다. 실제 사람의 신뢰·조언 수용·판단 변화·조직 생산성에 관한 주장은 참여자 또는 현장 실험의 후속 범위다.</w:t>
      </w:r>
    </w:p>
    <w:bookmarkEnd w:id="23"/>
    <w:bookmarkStart w:id="29" w:name="수리-모형"/>
    <w:p>
      <w:pPr>
        <w:pStyle w:val="Heading2"/>
      </w:pPr>
      <w:r>
        <w:t xml:space="preserve">2. 수리 모형</w:t>
      </w:r>
    </w:p>
    <w:bookmarkStart w:id="24" w:name="정보와-의사결정-기준"/>
    <w:p>
      <w:pPr>
        <w:pStyle w:val="Heading3"/>
      </w:pPr>
      <w:r>
        <w:t xml:space="preserve">2.1 정보와 의사결정 기준</w:t>
      </w:r>
    </w:p>
    <w:p>
      <w:pPr>
        <w:pStyle w:val="FirstParagraph"/>
      </w:pPr>
      <w:r>
        <w:t xml:space="preserve">수요를 D, 발주량을 q, 경제 모수를 θ=(F,c,p,v,b)로 둔다. F는 수요분포, c는 원가, p는 판매가, v는 잔존가치, b는 단위 부족 비용이다. c·p·v는 적용 조건이 있는 사실, F는 추정, b는 관리자가 정한 평가 기준으로 구분한다. 실제 문서의 역할에 따라 b가 이미 확정된 정책일 수도 있다.</w:t>
      </w:r>
    </w:p>
    <w:p>
      <w:pPr>
        <w:pStyle w:val="BodyText"/>
      </w:pPr>
      <w:r>
        <w:t xml:space="preserve">AI는 관측 정보 I로부터 모수·근거·누락·충돌 상태를 구성한다. 이미 본 원문과 응답만 I에 포함한다. 매니저가 아직 선택하지 않은 선호를 AI가 사실처럼 확정하지 않는다. 통제 실험의 기준 선호 b는 처치와 무관하게 사전에 고정하되, 미선택 상태에서는 질문을 통해 확인해야 한다. 실제 참여자의 선호 자체가 AI 때문에 바뀌는 연구는 별도 설계가 필요하다.</w:t>
      </w:r>
    </w:p>
    <w:bookmarkEnd w:id="24"/>
    <w:bookmarkStart w:id="25" w:name="발주-손실과-이익"/>
    <w:p>
      <w:pPr>
        <w:pStyle w:val="Heading3"/>
      </w:pPr>
      <w:r>
        <w:t xml:space="preserve">2.2 발주 손실과 이익</w:t>
      </w:r>
    </w:p>
    <w:p>
      <w:pPr>
        <w:pStyle w:val="FirstParagraph"/>
      </w:pPr>
      <w:r>
        <w:t xml:space="preserve">과잉 비용 Cₒ=c−v, 부족 비용 Cᵤ=p−c+b를 둔다. x⁺=max(x,0)일 때:</w:t>
      </w:r>
    </w:p>
    <w:p>
      <w:pPr>
        <w:pStyle w:val="BodyText"/>
      </w:pPr>
      <m:oMathPara>
        <m:oMathParaPr>
          <m:jc m:val="center"/>
        </m:oMathParaPr>
        <m:oMath>
          <m:r>
            <m:rPr>
              <m:sty m:val="p"/>
            </m:rPr>
            <m:t>ℓ</m:t>
          </m:r>
          <m:d>
            <m:dPr>
              <m:begChr m:val="("/>
              <m:sepChr m:val=""/>
              <m:endChr m:val=")"/>
              <m:grow/>
            </m:dPr>
            <m:e>
              <m:r>
                <m:t>q</m:t>
              </m:r>
              <m:r>
                <m:rPr>
                  <m:sty m:val="p"/>
                </m:rPr>
                <m:t>,</m:t>
              </m:r>
              <m:r>
                <m:t>D</m:t>
              </m:r>
              <m:r>
                <m:rPr>
                  <m:sty m:val="p"/>
                </m:rPr>
                <m:t>;</m:t>
              </m:r>
              <m:r>
                <m:t>θ</m:t>
              </m:r>
            </m:e>
          </m:d>
          <m:r>
            <m:rPr>
              <m:sty m:val="p"/>
            </m:rPr>
            <m:t>=</m:t>
          </m:r>
          <m:sSub>
            <m:e>
              <m:r>
                <m:t>C</m:t>
              </m:r>
            </m:e>
            <m:sub>
              <m:r>
                <m:t>o</m:t>
              </m:r>
            </m:sub>
          </m:sSub>
          <m:sSup>
            <m:e>
              <m:d>
                <m:dPr>
                  <m:begChr m:val="("/>
                  <m:sepChr m:val=""/>
                  <m:endChr m:val=")"/>
                  <m:grow/>
                </m:dPr>
                <m:e>
                  <m:r>
                    <m:t>q</m:t>
                  </m:r>
                  <m:r>
                    <m:rPr>
                      <m:sty m:val="p"/>
                    </m:rPr>
                    <m:t>−</m:t>
                  </m:r>
                  <m:r>
                    <m:t>D</m:t>
                  </m:r>
                </m:e>
              </m:d>
            </m:e>
            <m:sup>
              <m:r>
                <m:rPr>
                  <m:sty m:val="p"/>
                </m:rPr>
                <m:t>+</m:t>
              </m:r>
            </m:sup>
          </m:sSup>
          <m:r>
            <m:rPr>
              <m:sty m:val="p"/>
            </m:rPr>
            <m:t>+</m:t>
          </m:r>
          <m:sSub>
            <m:e>
              <m:r>
                <m:t>C</m:t>
              </m:r>
            </m:e>
            <m:sub>
              <m:r>
                <m:t>u</m:t>
              </m:r>
            </m:sub>
          </m:sSub>
          <m:sSup>
            <m:e>
              <m:d>
                <m:dPr>
                  <m:begChr m:val="("/>
                  <m:sepChr m:val=""/>
                  <m:endChr m:val=")"/>
                  <m:grow/>
                </m:dPr>
                <m:e>
                  <m:r>
                    <m:t>D</m:t>
                  </m:r>
                  <m:r>
                    <m:rPr>
                      <m:sty m:val="p"/>
                    </m:rPr>
                    <m:t>−</m:t>
                  </m:r>
                  <m:r>
                    <m:t>q</m:t>
                  </m:r>
                </m:e>
              </m:d>
            </m:e>
            <m:sup>
              <m:r>
                <m:rPr>
                  <m:sty m:val="p"/>
                </m:rPr>
                <m:t>+</m:t>
              </m:r>
            </m:sup>
          </m:sSup>
          <m:r>
            <m:rPr>
              <m:sty m:val="p"/>
            </m:rPr>
            <m:t>,</m:t>
          </m:r>
          <m:r>
            <m:t>  </m:t>
          </m:r>
          <m:r>
            <m:t>R</m:t>
          </m:r>
          <m:d>
            <m:dPr>
              <m:begChr m:val="("/>
              <m:sepChr m:val=""/>
              <m:endChr m:val=")"/>
              <m:grow/>
            </m:dPr>
            <m:e>
              <m:r>
                <m:t>q</m:t>
              </m:r>
              <m:r>
                <m:rPr>
                  <m:sty m:val="p"/>
                </m:rPr>
                <m:t>;</m:t>
              </m:r>
              <m:r>
                <m:t>θ</m:t>
              </m:r>
            </m:e>
          </m:d>
          <m:r>
            <m:rPr>
              <m:sty m:val="p"/>
            </m:rPr>
            <m:t>=</m:t>
          </m:r>
          <m:sSub>
            <m:e>
              <m:r>
                <m:rPr>
                  <m:sty m:val="p"/>
                  <m:scr m:val="double-struck"/>
                </m:rPr>
                <m:t>E</m:t>
              </m:r>
            </m:e>
            <m:sub>
              <m:r>
                <m:t>F</m:t>
              </m:r>
            </m:sub>
          </m:sSub>
          <m:d>
            <m:dPr>
              <m:begChr m:val="["/>
              <m:sepChr m:val=""/>
              <m:endChr m:val="]"/>
              <m:grow/>
            </m:dPr>
            <m:e>
              <m:r>
                <m:rPr>
                  <m:sty m:val="p"/>
                </m:rPr>
                <m:t>ℓ</m:t>
              </m:r>
              <m:d>
                <m:dPr>
                  <m:begChr m:val="("/>
                  <m:sepChr m:val=""/>
                  <m:endChr m:val=")"/>
                  <m:grow/>
                </m:dPr>
                <m:e>
                  <m:r>
                    <m:t>q</m:t>
                  </m:r>
                  <m:r>
                    <m:rPr>
                      <m:sty m:val="p"/>
                    </m:rPr>
                    <m:t>,</m:t>
                  </m:r>
                  <m:r>
                    <m:t>D</m:t>
                  </m:r>
                  <m:r>
                    <m:rPr>
                      <m:sty m:val="p"/>
                    </m:rPr>
                    <m:t>;</m:t>
                  </m:r>
                  <m:r>
                    <m:t>θ</m:t>
                  </m:r>
                </m:e>
              </m:d>
            </m:e>
          </m:d>
          <m:r>
            <m:rPr>
              <m:sty m:val="p"/>
            </m:rPr>
            <m:t>.</m:t>
          </m:r>
        </m:oMath>
      </m:oMathPara>
    </w:p>
    <w:p>
      <w:pPr>
        <w:pStyle w:val="FirstParagraph"/>
      </w:pPr>
      <w:r>
        <w:t xml:space="preserve">완전한 모수 정보를 아는 기준 발주량은 q*=argmin R(q;θ)다. 미래에 실현될 D까지 미리 아는 결정과 구분한다. 연속 수요, Cₒ&gt;0, Cᵤ&gt;0, 발주 제약에 걸리지 않는 내부해에서는:</w:t>
      </w:r>
    </w:p>
    <w:p>
      <w:pPr>
        <w:pStyle w:val="BodyText"/>
      </w:pPr>
      <m:oMathPara>
        <m:oMathParaPr>
          <m:jc m:val="center"/>
        </m:oMathParaPr>
        <m:oMath>
          <m:r>
            <m:t>α</m:t>
          </m:r>
          <m:r>
            <m:rPr>
              <m:sty m:val="p"/>
            </m:rPr>
            <m:t>=</m:t>
          </m:r>
          <m:f>
            <m:fPr>
              <m:type m:val="bar"/>
            </m:fPr>
            <m:num>
              <m:r>
                <m:t>p</m:t>
              </m:r>
              <m:r>
                <m:rPr>
                  <m:sty m:val="p"/>
                </m:rPr>
                <m:t>−</m:t>
              </m:r>
              <m:r>
                <m:t>c</m:t>
              </m:r>
              <m:r>
                <m:rPr>
                  <m:sty m:val="p"/>
                </m:rPr>
                <m:t>+</m:t>
              </m:r>
              <m:r>
                <m:t>b</m:t>
              </m:r>
            </m:num>
            <m:den>
              <m:r>
                <m:t>p</m:t>
              </m:r>
              <m:r>
                <m:rPr>
                  <m:sty m:val="p"/>
                </m:rPr>
                <m:t>−</m:t>
              </m:r>
              <m:r>
                <m:t>v</m:t>
              </m:r>
              <m:r>
                <m:rPr>
                  <m:sty m:val="p"/>
                </m:rPr>
                <m:t>+</m:t>
              </m:r>
              <m:r>
                <m:t>b</m:t>
              </m:r>
            </m:den>
          </m:f>
          <m:r>
            <m:rPr>
              <m:sty m:val="p"/>
            </m:rPr>
            <m:t>,</m:t>
          </m:r>
          <m:r>
            <m:t>  </m:t>
          </m:r>
          <m:sSup>
            <m:e>
              <m:r>
                <m:t>q</m:t>
              </m:r>
            </m:e>
            <m:sup>
              <m:r>
                <m:rPr>
                  <m:sty m:val="p"/>
                </m:rPr>
                <m:t>*</m:t>
              </m:r>
            </m:sup>
          </m:sSup>
          <m:r>
            <m:rPr>
              <m:sty m:val="p"/>
            </m:rPr>
            <m:t>=</m:t>
          </m:r>
          <m:sSup>
            <m:e>
              <m:r>
                <m:t>F</m:t>
              </m:r>
            </m:e>
            <m:sup>
              <m:r>
                <m:rPr>
                  <m:sty m:val="p"/>
                </m:rPr>
                <m:t>−</m:t>
              </m:r>
              <m:r>
                <m:t>1</m:t>
              </m:r>
            </m:sup>
          </m:sSup>
          <m:d>
            <m:dPr>
              <m:begChr m:val="("/>
              <m:sepChr m:val=""/>
              <m:endChr m:val=")"/>
              <m:grow/>
            </m:dPr>
            <m:e>
              <m:r>
                <m:t>α</m:t>
              </m:r>
            </m:e>
          </m:d>
          <m:r>
            <m:rPr>
              <m:sty m:val="p"/>
            </m:rPr>
            <m:t>.</m:t>
          </m:r>
        </m:oMath>
      </m:oMathPara>
    </w:p>
    <w:p>
      <w:pPr>
        <w:pStyle w:val="FirstParagraph"/>
      </w:pPr>
      <w:r>
        <w:t xml:space="preserve">정수·상하한·이산 수요에서는 공통 optimizer로 직접 최소화한다. 총손실은 실제 발주 손실 또는 사전에 정의한 보류 손실에 질문 비용을 더한다. 기존 생성 환경의 regret·보류·잘못된 진행 벌점과 판매 환경의 실현 수요 손실은</w:t>
      </w:r>
      <w:r>
        <w:t xml:space="preserve"> </w:t>
      </w:r>
      <w:hyperlink r:id="rId21">
        <w:r>
          <w:rPr>
            <w:rStyle w:val="Hyperlink"/>
          </w:rPr>
          <w:t xml:space="preserve">실험 명세</w:t>
        </w:r>
      </w:hyperlink>
      <w:r>
        <w:t xml:space="preserve">처럼 구분해 보존한다.</w:t>
      </w:r>
    </w:p>
    <w:p>
      <w:pPr>
        <w:pStyle w:val="BodyText"/>
      </w:pPr>
      <w:r>
        <w:t xml:space="preserve">경제적 평가 이익을 Π=p min(D,q)+v(q−D)⁺−cq−b(D−q)⁺로 두면 ℓ=(p−c)D−Π다. 같은 사례의 정책 차이는 동일한 기준 수요·선호 아래에서 비교한다. b가 서비스 수준의 그림자 비용이면 Π는 회계상 현금 이익과 다르다. 현금 이익과 서비스 페널티·질문 비용을 각각 보고한다. 생성 금액으로 실제 기업의 이익 증가를 주장하지 않는다.</w:t>
      </w:r>
    </w:p>
    <w:bookmarkEnd w:id="25"/>
    <w:bookmarkStart w:id="27" w:name="모수-오류의-경제적-전달"/>
    <w:p>
      <w:pPr>
        <w:pStyle w:val="Heading3"/>
      </w:pPr>
      <w:r>
        <w:t xml:space="preserve">2.3 모수 오류의 경제적 전달</w:t>
      </w:r>
    </w:p>
    <w:p>
      <w:pPr>
        <w:pStyle w:val="FirstParagraph"/>
      </w:pPr>
      <w:r>
        <w:t xml:space="preserve">F와 α의 작은 오차를 δF, δα라고 하고 f(q*)&gt;0인 매끄러운 내부해를 가정하면, 최적 조건을 1차 전개해 다음 근사를 얻는다.</w:t>
      </w:r>
    </w:p>
    <w:p>
      <w:pPr>
        <w:pStyle w:val="BodyText"/>
      </w:pPr>
      <m:oMathPara>
        <m:oMathParaPr>
          <m:jc m:val="center"/>
        </m:oMathParaPr>
        <m:oMath>
          <m:acc>
            <m:accPr>
              <m:chr m:val="̂"/>
            </m:accPr>
            <m:e>
              <m:r>
                <m:t>q</m:t>
              </m:r>
            </m:e>
          </m:acc>
          <m:r>
            <m:rPr>
              <m:sty m:val="p"/>
            </m:rPr>
            <m:t>−</m:t>
          </m:r>
          <m:sSup>
            <m:e>
              <m:r>
                <m:t>q</m:t>
              </m:r>
            </m:e>
            <m:sup>
              <m:r>
                <m:rPr>
                  <m:sty m:val="p"/>
                </m:rPr>
                <m:t>*</m:t>
              </m:r>
            </m:sup>
          </m:sSup>
          <m:r>
            <m:rPr>
              <m:sty m:val="p"/>
            </m:rPr>
            <m:t>≈</m:t>
          </m:r>
          <m:f>
            <m:fPr>
              <m:type m:val="bar"/>
            </m:fPr>
            <m:num>
              <m:r>
                <m:t>δ</m:t>
              </m:r>
              <m:r>
                <m:t>α</m:t>
              </m:r>
              <m:r>
                <m:rPr>
                  <m:sty m:val="p"/>
                </m:rPr>
                <m:t>−</m:t>
              </m:r>
              <m:r>
                <m:t>δ</m:t>
              </m:r>
              <m:r>
                <m:t>F</m:t>
              </m:r>
              <m:d>
                <m:dPr>
                  <m:begChr m:val="("/>
                  <m:sepChr m:val=""/>
                  <m:endChr m:val=")"/>
                  <m:grow/>
                </m:dPr>
                <m:e>
                  <m:sSup>
                    <m:e>
                      <m:r>
                        <m:t>q</m:t>
                      </m:r>
                    </m:e>
                    <m:sup>
                      <m:r>
                        <m:rPr>
                          <m:sty m:val="p"/>
                        </m:rPr>
                        <m:t>*</m:t>
                      </m:r>
                    </m:sup>
                  </m:sSup>
                </m:e>
              </m:d>
            </m:num>
            <m:den>
              <m:r>
                <m:t>f</m:t>
              </m:r>
              <m:d>
                <m:dPr>
                  <m:begChr m:val="("/>
                  <m:sepChr m:val=""/>
                  <m:endChr m:val=")"/>
                  <m:grow/>
                </m:dPr>
                <m:e>
                  <m:sSup>
                    <m:e>
                      <m:r>
                        <m:t>q</m:t>
                      </m:r>
                    </m:e>
                    <m:sup>
                      <m:r>
                        <m:rPr>
                          <m:sty m:val="p"/>
                        </m:rPr>
                        <m:t>*</m:t>
                      </m:r>
                    </m:sup>
                  </m:sSup>
                </m:e>
              </m:d>
            </m:den>
          </m:f>
          <m:r>
            <m:rPr>
              <m:sty m:val="p"/>
            </m:rPr>
            <m:t>,</m:t>
          </m:r>
          <m:r>
            <m:t>  </m:t>
          </m:r>
          <m:r>
            <m:t>R</m:t>
          </m:r>
          <m:d>
            <m:dPr>
              <m:begChr m:val="("/>
              <m:sepChr m:val=""/>
              <m:endChr m:val=")"/>
              <m:grow/>
            </m:dPr>
            <m:e>
              <m:acc>
                <m:accPr>
                  <m:chr m:val="̂"/>
                </m:accPr>
                <m:e>
                  <m:r>
                    <m:t>q</m:t>
                  </m:r>
                </m:e>
              </m:acc>
              <m:r>
                <m:rPr>
                  <m:sty m:val="p"/>
                </m:rPr>
                <m:t>;</m:t>
              </m:r>
              <m:r>
                <m:t>θ</m:t>
              </m:r>
            </m:e>
          </m:d>
          <m:r>
            <m:rPr>
              <m:sty m:val="p"/>
            </m:rPr>
            <m:t>−</m:t>
          </m:r>
          <m:r>
            <m:t>R</m:t>
          </m:r>
          <m:d>
            <m:dPr>
              <m:begChr m:val="("/>
              <m:sepChr m:val=""/>
              <m:endChr m:val=")"/>
              <m:grow/>
            </m:dPr>
            <m:e>
              <m:sSup>
                <m:e>
                  <m:r>
                    <m:t>q</m:t>
                  </m:r>
                </m:e>
                <m:sup>
                  <m:r>
                    <m:rPr>
                      <m:sty m:val="p"/>
                    </m:rPr>
                    <m:t>*</m:t>
                  </m:r>
                </m:sup>
              </m:sSup>
              <m:r>
                <m:rPr>
                  <m:sty m:val="p"/>
                </m:rPr>
                <m:t>;</m:t>
              </m:r>
              <m:r>
                <m:t>θ</m:t>
              </m:r>
            </m:e>
          </m:d>
          <m:r>
            <m:rPr>
              <m:sty m:val="p"/>
            </m:rPr>
            <m:t>≈</m:t>
          </m:r>
          <m:f>
            <m:fPr>
              <m:type m:val="bar"/>
            </m:fPr>
            <m:num>
              <m:r>
                <m:t>p</m:t>
              </m:r>
              <m:r>
                <m:rPr>
                  <m:sty m:val="p"/>
                </m:rPr>
                <m:t>−</m:t>
              </m:r>
              <m:r>
                <m:t>v</m:t>
              </m:r>
              <m:r>
                <m:rPr>
                  <m:sty m:val="p"/>
                </m:rPr>
                <m:t>+</m:t>
              </m:r>
              <m:r>
                <m:t>b</m:t>
              </m:r>
            </m:num>
            <m:den>
              <m:r>
                <m:t>2</m:t>
              </m:r>
              <m:r>
                <m:t>f</m:t>
              </m:r>
              <m:d>
                <m:dPr>
                  <m:begChr m:val="("/>
                  <m:sepChr m:val=""/>
                  <m:endChr m:val=")"/>
                  <m:grow/>
                </m:dPr>
                <m:e>
                  <m:sSup>
                    <m:e>
                      <m:r>
                        <m:t>q</m:t>
                      </m:r>
                    </m:e>
                    <m:sup>
                      <m:r>
                        <m:rPr>
                          <m:sty m:val="p"/>
                        </m:rPr>
                        <m:t>*</m:t>
                      </m:r>
                    </m:sup>
                  </m:sSup>
                </m:e>
              </m:d>
            </m:den>
          </m:f>
          <m:r>
            <m:rPr>
              <m:sty m:val="p"/>
            </m:rPr>
            <m:t>{</m:t>
          </m:r>
          <m:r>
            <m:t>δ</m:t>
          </m:r>
          <m:r>
            <m:t>α</m:t>
          </m:r>
          <m:r>
            <m:rPr>
              <m:sty m:val="p"/>
            </m:rPr>
            <m:t>−</m:t>
          </m:r>
          <m:r>
            <m:t>δ</m:t>
          </m:r>
          <m:r>
            <m:t>F</m:t>
          </m:r>
          <m:d>
            <m:dPr>
              <m:begChr m:val="("/>
              <m:sepChr m:val=""/>
              <m:endChr m:val=")"/>
              <m:grow/>
            </m:dPr>
            <m:e>
              <m:sSup>
                <m:e>
                  <m:r>
                    <m:t>q</m:t>
                  </m:r>
                </m:e>
                <m:sup>
                  <m:r>
                    <m:rPr>
                      <m:sty m:val="p"/>
                    </m:rPr>
                    <m:t>*</m:t>
                  </m:r>
                </m:sup>
              </m:sSup>
            </m:e>
          </m:d>
          <m:sSup>
            <m:e>
              <m:r>
                <m:rPr>
                  <m:sty m:val="p"/>
                </m:rPr>
                <m:t>}</m:t>
              </m:r>
            </m:e>
            <m:sup>
              <m:r>
                <m:t>2</m:t>
              </m:r>
            </m:sup>
          </m:sSup>
          <m:r>
            <m:rPr>
              <m:sty m:val="p"/>
            </m:rPr>
            <m:t>.</m:t>
          </m:r>
        </m:oMath>
      </m:oMathPara>
    </w:p>
    <w:p>
      <w:pPr>
        <w:pStyle w:val="FirstParagraph"/>
      </w:pPr>
      <w:r>
        <w:t xml:space="preserve">또한 ∂α/∂b=(c−v)/(p−v+b)²다. 이 식은 어떤 모수의 오류인지, 발주 분위수 주변의 분포가 어떤지에 따라 같은 정답률 개선의 경제적 가치가 달라질 수 있음을 설명한다. 정확도 상승률에 손실 감소율이 반드시 비례한다고 가정하지 않는다. 0 수요 질량, 이산 지지점, 경계해에서는 이 미분 근사를 적용하지 않고 실제 optimizer의 유한 변화로 확인한다.</w:t>
      </w:r>
    </w:p>
    <w:p>
      <w:pPr>
        <w:pStyle w:val="BodyText"/>
      </w:pPr>
      <w:r>
        <w:t xml:space="preserve">이 결과는 제시한 가정에서의 표준 최적 조건 전개이며 새로운 정리로 주장하지 않는다.</w:t>
      </w:r>
      <w:r>
        <w:t xml:space="preserve"> </w:t>
      </w:r>
      <w:hyperlink r:id="rId26">
        <w:r>
          <w:rPr>
            <w:rStyle w:val="Hyperlink"/>
          </w:rPr>
          <w:t xml:space="preserve">분석 코드</w:t>
        </w:r>
      </w:hyperlink>
      <w:r>
        <w:t xml:space="preserve">의 연속 균등수요 검사로 곡률·선호 민감도 식을 수치 확인한다. 이 검사는 학습 AI의 성능 측정이 아니다.</w:t>
      </w:r>
    </w:p>
    <w:bookmarkEnd w:id="27"/>
    <w:bookmarkStart w:id="28" w:name="질문의-가치"/>
    <w:p>
      <w:pPr>
        <w:pStyle w:val="Heading3"/>
      </w:pPr>
      <w:r>
        <w:t xml:space="preserve">2.4 질문의 가치</w:t>
      </w:r>
    </w:p>
    <w:p>
      <w:pPr>
        <w:pStyle w:val="FirstParagraph"/>
      </w:pPr>
      <w:r>
        <w:t xml:space="preserve">V₀(I)를 현재 정보로 결정할 때의 최소 조건부 기대손실이라고 하자. 질문 a 후 응답 Zₐ를 받고 바로 결정하는 경우의 정보 가치는:</w:t>
      </w:r>
    </w:p>
    <w:p>
      <w:pPr>
        <w:pStyle w:val="BodyText"/>
      </w:pPr>
      <m:oMathPara>
        <m:oMathParaPr>
          <m:jc m:val="center"/>
        </m:oMathParaPr>
        <m:oMath>
          <m:sSub>
            <m:e>
              <m:r>
                <m:rPr>
                  <m:sty m:val="p"/>
                </m:rPr>
                <m:t>EVSI</m:t>
              </m:r>
            </m:e>
            <m:sub>
              <m:r>
                <m:t>a</m:t>
              </m:r>
            </m:sub>
          </m:sSub>
          <m:d>
            <m:dPr>
              <m:begChr m:val="("/>
              <m:sepChr m:val=""/>
              <m:endChr m:val=")"/>
              <m:grow/>
            </m:dPr>
            <m:e>
              <m:r>
                <m:t>I</m:t>
              </m:r>
            </m:e>
          </m:d>
          <m:r>
            <m:rPr>
              <m:sty m:val="p"/>
            </m:rPr>
            <m:t>=</m:t>
          </m:r>
          <m:sSub>
            <m:e>
              <m:r>
                <m:t>V</m:t>
              </m:r>
            </m:e>
            <m:sub>
              <m:r>
                <m:t>0</m:t>
              </m:r>
            </m:sub>
          </m:sSub>
          <m:d>
            <m:dPr>
              <m:begChr m:val="("/>
              <m:sepChr m:val=""/>
              <m:endChr m:val=")"/>
              <m:grow/>
            </m:dPr>
            <m:e>
              <m:r>
                <m:t>I</m:t>
              </m:r>
            </m:e>
          </m:d>
          <m:r>
            <m:rPr>
              <m:sty m:val="p"/>
            </m:rPr>
            <m:t>−</m:t>
          </m:r>
          <m:r>
            <m:rPr>
              <m:sty m:val="p"/>
              <m:scr m:val="double-struck"/>
            </m:rPr>
            <m:t>E</m:t>
          </m:r>
          <m:d>
            <m:dPr>
              <m:begChr m:val="["/>
              <m:sepChr m:val=""/>
              <m:endChr m:val="]"/>
              <m:grow/>
            </m:dPr>
            <m:e>
              <m:sSub>
                <m:e>
                  <m:r>
                    <m:t>V</m:t>
                  </m:r>
                </m:e>
                <m:sub>
                  <m:r>
                    <m:t>0</m:t>
                  </m:r>
                </m:sub>
              </m:sSub>
              <m:d>
                <m:dPr>
                  <m:begChr m:val="("/>
                  <m:sepChr m:val=""/>
                  <m:endChr m:val=")"/>
                  <m:grow/>
                </m:dPr>
                <m:e>
                  <m:r>
                    <m:t>I</m:t>
                  </m:r>
                  <m:r>
                    <m:rPr>
                      <m:sty m:val="p"/>
                    </m:rPr>
                    <m:t>,</m:t>
                  </m:r>
                  <m:sSub>
                    <m:e>
                      <m:r>
                        <m:t>Z</m:t>
                      </m:r>
                    </m:e>
                    <m:sub>
                      <m:r>
                        <m:t>a</m:t>
                      </m:r>
                    </m:sub>
                  </m:sSub>
                </m:e>
              </m:d>
              <m:r>
                <m:rPr>
                  <m:sty m:val="p"/>
                </m:rPr>
                <m:t>∣</m:t>
              </m:r>
              <m:r>
                <m:t>I</m:t>
              </m:r>
            </m:e>
          </m:d>
          <m:r>
            <m:rPr>
              <m:sty m:val="p"/>
            </m:rPr>
            <m:t>.</m:t>
          </m:r>
        </m:oMath>
      </m:oMathPara>
    </w:p>
    <w:p>
      <w:pPr>
        <w:pStyle w:val="FirstParagraph"/>
      </w:pPr>
      <w:r>
        <w:t xml:space="preserve">한 번 질문한 뒤 결정하는 조건에서는 EVSI가 질문 비용 κₐ보다 클 때 질문이 유리하다. 여러 질문과 예산·보류가 있으면 잔여 상태 B에서 다음 Bellman 식으로 확장한다.</w:t>
      </w:r>
    </w:p>
    <w:p>
      <w:pPr>
        <w:pStyle w:val="BodyText"/>
      </w:pPr>
      <m:oMathPara>
        <m:oMathParaPr>
          <m:jc m:val="center"/>
        </m:oMathParaPr>
        <m:oMath>
          <m:r>
            <m:t>V</m:t>
          </m:r>
          <m:d>
            <m:dPr>
              <m:begChr m:val="("/>
              <m:sepChr m:val=""/>
              <m:endChr m:val=")"/>
              <m:grow/>
            </m:dPr>
            <m:e>
              <m:r>
                <m:t>B</m:t>
              </m:r>
            </m:e>
          </m:d>
          <m:r>
            <m:rPr>
              <m:sty m:val="p"/>
            </m:rPr>
            <m:t>=</m:t>
          </m:r>
          <m:r>
            <m:rPr>
              <m:sty m:val="p"/>
            </m:rPr>
            <m:t>min</m:t>
          </m:r>
          <m:d>
            <m:dPr>
              <m:begChr m:val="{"/>
              <m:sepChr m:val=""/>
              <m:endChr m:val="}"/>
              <m:grow/>
            </m:dPr>
            <m:e>
              <m:sSub>
                <m:e>
                  <m:r>
                    <m:t>C</m:t>
                  </m:r>
                </m:e>
                <m:sub>
                  <m:r>
                    <m:rPr>
                      <m:sty m:val="p"/>
                    </m:rPr>
                    <m:t>o</m:t>
                  </m:r>
                  <m:r>
                    <m:rPr>
                      <m:sty m:val="p"/>
                    </m:rPr>
                    <m:t>r</m:t>
                  </m:r>
                  <m:r>
                    <m:rPr>
                      <m:sty m:val="p"/>
                    </m:rPr>
                    <m:t>d</m:t>
                  </m:r>
                  <m:r>
                    <m:rPr>
                      <m:sty m:val="p"/>
                    </m:rPr>
                    <m:t>e</m:t>
                  </m:r>
                  <m:r>
                    <m:rPr>
                      <m:sty m:val="p"/>
                    </m:rPr>
                    <m:t>r</m:t>
                  </m:r>
                </m:sub>
              </m:sSub>
              <m:d>
                <m:dPr>
                  <m:begChr m:val="("/>
                  <m:sepChr m:val=""/>
                  <m:endChr m:val=")"/>
                  <m:grow/>
                </m:dPr>
                <m:e>
                  <m:r>
                    <m:t>B</m:t>
                  </m:r>
                </m:e>
              </m:d>
              <m:r>
                <m:rPr>
                  <m:sty m:val="p"/>
                </m:rPr>
                <m:t>,</m:t>
              </m:r>
              <m:sSub>
                <m:e>
                  <m:r>
                    <m:t>C</m:t>
                  </m:r>
                </m:e>
                <m:sub>
                  <m:r>
                    <m:rPr>
                      <m:sty m:val="p"/>
                    </m:rPr>
                    <m:t>h</m:t>
                  </m:r>
                  <m:r>
                    <m:rPr>
                      <m:sty m:val="p"/>
                    </m:rPr>
                    <m:t>o</m:t>
                  </m:r>
                  <m:r>
                    <m:rPr>
                      <m:sty m:val="p"/>
                    </m:rPr>
                    <m:t>l</m:t>
                  </m:r>
                  <m:r>
                    <m:rPr>
                      <m:sty m:val="p"/>
                    </m:rPr>
                    <m:t>d</m:t>
                  </m:r>
                </m:sub>
              </m:sSub>
              <m:d>
                <m:dPr>
                  <m:begChr m:val="("/>
                  <m:sepChr m:val=""/>
                  <m:endChr m:val=")"/>
                  <m:grow/>
                </m:dPr>
                <m:e>
                  <m:r>
                    <m:t>B</m:t>
                  </m:r>
                </m:e>
              </m:d>
              <m:r>
                <m:rPr>
                  <m:sty m:val="p"/>
                </m:rPr>
                <m:t>,</m:t>
              </m:r>
              <m:limLow>
                <m:e>
                  <m:r>
                    <m:rPr>
                      <m:sty m:val="p"/>
                    </m:rPr>
                    <m:t>min</m:t>
                  </m:r>
                </m:e>
                <m:lim>
                  <m:r>
                    <m:t>a</m:t>
                  </m:r>
                  <m:r>
                    <m:rPr>
                      <m:sty m:val="p"/>
                    </m:rPr>
                    <m:t>∈</m:t>
                  </m:r>
                  <m:r>
                    <m:rPr>
                      <m:sty m:val="p"/>
                      <m:scr m:val="script"/>
                    </m:rPr>
                    <m:t>A</m:t>
                  </m:r>
                  <m:d>
                    <m:dPr>
                      <m:begChr m:val="("/>
                      <m:sepChr m:val=""/>
                      <m:endChr m:val=")"/>
                      <m:grow/>
                    </m:dPr>
                    <m:e>
                      <m:r>
                        <m:t>B</m:t>
                      </m:r>
                    </m:e>
                  </m:d>
                </m:lim>
              </m:limLow>
              <m:d>
                <m:dPr>
                  <m:begChr m:val="["/>
                  <m:sepChr m:val=""/>
                  <m:endChr m:val="]"/>
                  <m:grow/>
                </m:dPr>
                <m:e>
                  <m:sSub>
                    <m:e>
                      <m:r>
                        <m:t>κ</m:t>
                      </m:r>
                    </m:e>
                    <m:sub>
                      <m:r>
                        <m:t>a</m:t>
                      </m:r>
                    </m:sub>
                  </m:sSub>
                  <m:r>
                    <m:rPr>
                      <m:sty m:val="p"/>
                    </m:rPr>
                    <m:t>+</m:t>
                  </m:r>
                  <m:r>
                    <m:rPr>
                      <m:sty m:val="p"/>
                      <m:scr m:val="double-struck"/>
                    </m:rPr>
                    <m:t>E</m:t>
                  </m:r>
                  <m:r>
                    <m:rPr>
                      <m:sty m:val="p"/>
                    </m:rPr>
                    <m:t>{</m:t>
                  </m:r>
                  <m:r>
                    <m:t>V</m:t>
                  </m:r>
                  <m:d>
                    <m:dPr>
                      <m:begChr m:val="("/>
                      <m:sepChr m:val=""/>
                      <m:endChr m:val=")"/>
                      <m:grow/>
                    </m:dPr>
                    <m:e>
                      <m:r>
                        <m:t>B</m:t>
                      </m:r>
                      <m:r>
                        <m:rPr>
                          <m:sty m:val="p"/>
                        </m:rPr>
                        <m:t>′</m:t>
                      </m:r>
                    </m:e>
                  </m:d>
                  <m:r>
                    <m:rPr>
                      <m:sty m:val="p"/>
                    </m:rPr>
                    <m:t>∣</m:t>
                  </m:r>
                  <m:r>
                    <m:t>B</m:t>
                  </m:r>
                  <m:r>
                    <m:rPr>
                      <m:sty m:val="p"/>
                    </m:rPr>
                    <m:t>,</m:t>
                  </m:r>
                  <m:r>
                    <m:t>a</m:t>
                  </m:r>
                  <m:r>
                    <m:rPr>
                      <m:sty m:val="p"/>
                    </m:rPr>
                    <m:t>}</m:t>
                  </m:r>
                </m:e>
              </m:d>
            </m:e>
          </m:d>
          <m:r>
            <m:rPr>
              <m:sty m:val="p"/>
            </m:rPr>
            <m:t>.</m:t>
          </m:r>
        </m:oMath>
      </m:oMathPara>
    </w:p>
    <w:p>
      <w:pPr>
        <w:pStyle w:val="FirstParagraph"/>
      </w:pPr>
      <w:r>
        <w:t xml:space="preserve">응답 분포에는 무응답·부분 응답·잘못된 응답을 포함한다. 위 식은 반응 모형과 믿음이 주어진 규범적 기준이다. 현재 학습 정책이 최적 정보 가치를 정확히 안다고 가정하지 않는다. 생성기의 숨겨진 응답 집합과 참모수를 아는 planner는 채점용 상한·진단이며 배포 가능한 정책 비교군이 아니다.</w:t>
      </w:r>
    </w:p>
    <w:bookmarkEnd w:id="28"/>
    <w:bookmarkEnd w:id="29"/>
    <w:bookmarkStart w:id="30" w:name="검증할-가설"/>
    <w:p>
      <w:pPr>
        <w:pStyle w:val="Heading2"/>
      </w:pPr>
      <w:r>
        <w:t xml:space="preserve">3. 검증할 가설</w:t>
      </w:r>
    </w:p>
    <w:p>
      <w:pPr>
        <w:pStyle w:val="FirstParagraph"/>
      </w:pPr>
      <w:r>
        <w:t xml:space="preserve">다음은 새 확증 결과가 아니라 후속 실험에서 검증할 가설이다. 기존 Dev를 보고 선택한 가설이라는 사실도 기록한다.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가설</w:t>
            </w:r>
          </w:p>
        </w:tc>
        <w:tc>
          <w:tcPr/>
          <w:p>
            <w:pPr>
              <w:pStyle w:val="Compact"/>
            </w:pPr>
            <w:r>
              <w:t xml:space="preserve">사전 조건과 예상 관계</w:t>
            </w:r>
          </w:p>
        </w:tc>
        <w:tc>
          <w:tcPr/>
          <w:p>
            <w:pPr>
              <w:pStyle w:val="Compact"/>
            </w:pPr>
            <w:r>
              <w:t xml:space="preserve">반증·제한</w:t>
            </w:r>
          </w:p>
        </w:tc>
      </w:tr>
      <w:tr>
        <w:tc>
          <w:tcPr/>
          <w:p>
            <w:pPr>
              <w:pStyle w:val="Compact"/>
            </w:pPr>
            <w:r>
              <w:t xml:space="preserve">H1 정보의 경제적 민감도</w:t>
            </w:r>
          </w:p>
        </w:tc>
        <w:tc>
          <w:tcPr/>
          <w:p>
            <w:pPr>
              <w:pStyle w:val="Compact"/>
            </w:pPr>
            <w:r>
              <w:t xml:space="preserve">중요한 비용비·발주 분위수의 오류를 줄일수록 손실 감소가 커진다</w:t>
            </w:r>
          </w:p>
        </w:tc>
        <w:tc>
          <w:tcPr/>
          <w:p>
            <w:pPr>
              <w:pStyle w:val="Compact"/>
            </w:pPr>
            <w:r>
              <w:t xml:space="preserve">전체 정답률만 개선되고 관련 분위수·모수가 같으면 손실 차이가 없을 수 있다</w:t>
            </w:r>
          </w:p>
        </w:tc>
      </w:tr>
      <w:tr>
        <w:tc>
          <w:tcPr/>
          <w:p>
            <w:pPr>
              <w:pStyle w:val="Compact"/>
            </w:pPr>
            <w:r>
              <w:t xml:space="preserve">H2 질문의 순가치</w:t>
            </w:r>
          </w:p>
        </w:tc>
        <w:tc>
          <w:tcPr/>
          <w:p>
            <w:pPr>
              <w:pStyle w:val="Compact"/>
            </w:pPr>
            <w:r>
              <w:t xml:space="preserve">정보 누락·충돌이 있고 응답이 신뢰할 만하며 비용이 낮으면 질문 허용의 순효과가 커진다</w:t>
            </w:r>
          </w:p>
        </w:tc>
        <w:tc>
          <w:tcPr/>
          <w:p>
            <w:pPr>
              <w:pStyle w:val="Compact"/>
            </w:pPr>
            <w:r>
              <w:t xml:space="preserve">정확한 정보가 이미 있거나 무응답·비용이 크면 질문이 도움이 되지 않을 수 있다</w:t>
            </w:r>
          </w:p>
        </w:tc>
      </w:tr>
      <w:tr>
        <w:tc>
          <w:tcPr/>
          <w:p>
            <w:pPr>
              <w:pStyle w:val="Compact"/>
            </w:pPr>
            <w:r>
              <w:t xml:space="preserve">H3 AI와 질문의 상호작용</w:t>
            </w:r>
          </w:p>
        </w:tc>
        <w:tc>
          <w:tcPr/>
          <w:p>
            <w:pPr>
              <w:pStyle w:val="Compact"/>
            </w:pPr>
            <w:r>
              <w:t xml:space="preserve">AI의 상태 파악이 필요한 질문을 잘 선택하게 하면 두 기능의 결합에서 추가 손실 감소가 생긴다</w:t>
            </w:r>
          </w:p>
        </w:tc>
        <w:tc>
          <w:tcPr/>
          <w:p>
            <w:pPr>
              <w:pStyle w:val="Compact"/>
            </w:pPr>
            <w:r>
              <w:t xml:space="preserve">AI가 질문을 대체하거나 단순 규칙과 결과가 같으면 보완성이 약하거나 없다</w:t>
            </w:r>
          </w:p>
        </w:tc>
      </w:tr>
    </w:tbl>
    <w:p>
      <w:pPr>
        <w:pStyle w:val="BodyText"/>
      </w:pPr>
      <w:r>
        <w:t xml:space="preserve">질문 횟수·정확도는 작동 경로를 보여 주는 결과 지표다. 총효과 회귀에 사후 통제변수로 자동 투입하지 않는다. 처치 후 변수에 조건을 걸면 총효과가 왜곡될 수 있다 [3]. 메커니즘은 모듈을 통제해 바꾸는 추가 실험으로 확인한다.</w:t>
      </w:r>
    </w:p>
    <w:bookmarkEnd w:id="30"/>
    <w:bookmarkStart w:id="33" w:name="효과의-식별과-회귀"/>
    <w:p>
      <w:pPr>
        <w:pStyle w:val="Heading2"/>
      </w:pPr>
      <w:r>
        <w:t xml:space="preserve">4. 효과의 식별과 회귀</w:t>
      </w:r>
    </w:p>
    <w:bookmarkStart w:id="31" w:name="현재-실행한-분석-구성-수정-효과"/>
    <w:p>
      <w:pPr>
        <w:pStyle w:val="Heading3"/>
      </w:pPr>
      <w:r>
        <w:t xml:space="preserve">4.1 현재 실행한 분석: 구성 수정 효과</w:t>
      </w:r>
    </w:p>
    <w:p>
      <w:pPr>
        <w:pStyle w:val="FirstParagraph"/>
      </w:pPr>
      <w:r>
        <w:t xml:space="preserve">공개 Dev의 parent와 scoped는 모두 AI를 포함한다. 같은 사례·문서 조건·추가 응답 누락 없음에서 결과를 짝지어 ΔY=Y(scoped)−Y(parent)를 만든다.</w:t>
      </w:r>
    </w:p>
    <w:p>
      <w:pPr>
        <w:pStyle w:val="BodyText"/>
      </w:pPr>
      <m:oMathPara>
        <m:oMathParaPr>
          <m:jc m:val="center"/>
        </m:oMathParaPr>
        <m:oMath>
          <m:r>
            <m:t>Δ</m:t>
          </m:r>
          <m:sSub>
            <m:e>
              <m:r>
                <m:t>Y</m:t>
              </m:r>
            </m:e>
            <m:sub>
              <m:r>
                <m:t>i</m:t>
              </m:r>
              <m:r>
                <m:t>c</m:t>
              </m:r>
            </m:sub>
          </m:sSub>
          <m:r>
            <m:rPr>
              <m:sty m:val="p"/>
            </m:rPr>
            <m:t>=</m:t>
          </m:r>
          <m:sSub>
            <m:e>
              <m:r>
                <m:t>β</m:t>
              </m:r>
            </m:e>
            <m:sub>
              <m:r>
                <m:t>0</m:t>
              </m:r>
            </m:sub>
          </m:sSub>
          <m:r>
            <m:rPr>
              <m:sty m:val="p"/>
            </m:rPr>
            <m:t>+</m:t>
          </m:r>
          <m:nary>
            <m:naryPr>
              <m:chr m:val="∑"/>
              <m:limLoc m:val="undOvr"/>
              <m:subHide m:val="off"/>
              <m:supHide m:val="on"/>
            </m:naryPr>
            <m:sub>
              <m:r>
                <m:t>k</m:t>
              </m:r>
              <m:r>
                <m:rPr>
                  <m:sty m:val="p"/>
                </m:rPr>
                <m:t>≠</m:t>
              </m:r>
              <m:r>
                <m:rPr>
                  <m:sty m:val="p"/>
                </m:rPr>
                <m:t>o</m:t>
              </m:r>
              <m:r>
                <m:rPr>
                  <m:sty m:val="p"/>
                </m:rPr>
                <m:t>r</m:t>
              </m:r>
              <m:r>
                <m:rPr>
                  <m:sty m:val="p"/>
                </m:rPr>
                <m:t>i</m:t>
              </m:r>
              <m:r>
                <m:rPr>
                  <m:sty m:val="p"/>
                </m:rPr>
                <m:t>g</m:t>
              </m:r>
              <m:r>
                <m:rPr>
                  <m:sty m:val="p"/>
                </m:rPr>
                <m:t>i</m:t>
              </m:r>
              <m:r>
                <m:rPr>
                  <m:sty m:val="p"/>
                </m:rPr>
                <m:t>n</m:t>
              </m:r>
              <m:r>
                <m:rPr>
                  <m:sty m:val="p"/>
                </m:rPr>
                <m:t>a</m:t>
              </m:r>
              <m:r>
                <m:rPr>
                  <m:sty m:val="p"/>
                </m:rPr>
                <m:t>l</m:t>
              </m:r>
            </m:sub>
            <m:sup>
              <m:r>
                <m:t>​</m:t>
              </m:r>
            </m:sup>
            <m:e>
              <m:sSub>
                <m:e>
                  <m:r>
                    <m:t>β</m:t>
                  </m:r>
                </m:e>
                <m:sub>
                  <m:r>
                    <m:t>k</m:t>
                  </m:r>
                </m:sub>
              </m:sSub>
            </m:e>
          </m:nary>
          <m:r>
            <m:rPr>
              <m:sty m:val="b"/>
            </m:rPr>
            <m:t>1</m:t>
          </m:r>
          <m:d>
            <m:dPr>
              <m:begChr m:val="("/>
              <m:sepChr m:val=""/>
              <m:endChr m:val=")"/>
              <m:grow/>
            </m:dPr>
            <m:e>
              <m:r>
                <m:t>c</m:t>
              </m:r>
              <m:r>
                <m:rPr>
                  <m:sty m:val="p"/>
                </m:rPr>
                <m:t>=</m:t>
              </m:r>
              <m:r>
                <m:t>k</m:t>
              </m:r>
            </m:e>
          </m:d>
          <m:r>
            <m:rPr>
              <m:sty m:val="p"/>
            </m:rPr>
            <m:t>+</m:t>
          </m:r>
          <m:sSub>
            <m:e>
              <m:r>
                <m:t>ϵ</m:t>
              </m:r>
            </m:e>
            <m:sub>
              <m:r>
                <m:t>i</m:t>
              </m:r>
              <m:r>
                <m:t>c</m:t>
              </m:r>
            </m:sub>
          </m:sSub>
          <m:r>
            <m:rPr>
              <m:sty m:val="p"/>
            </m:rPr>
            <m:t>.</m:t>
          </m:r>
        </m:oMath>
      </m:oMathPara>
    </w:p>
    <w:p>
      <w:pPr>
        <w:pStyle w:val="FirstParagraph"/>
      </w:pPr>
      <w:r>
        <w:t xml:space="preserve">이 포화 회귀의 적합값은 조건별 짝지은 평균 차이와 같다. 회귀라는 형식이 새로운 발견이나 인과 식별을 추가하지 않는다. 원래 사례의 공통 특성은 차분에서 제거되지만, Dev 재사용·모형 선택·적은 출처 수의 한계는 남는다. 전체 AI 도입 효과, 매니저 질문 허용 효과, 인간 행동 효과는 이 분석으로 식별되지 않는다.</w:t>
      </w:r>
    </w:p>
    <w:p>
      <w:pPr>
        <w:pStyle w:val="BodyText"/>
      </w:pPr>
      <w:r>
        <w:t xml:space="preserve">사례 가중 평균, 출처별 평균, 출처를 동일하게 가중한 효과, 한 출처씩 제외한 범위를 함께 보고한다. 이 범위는 신뢰구간이 아니다. 소수 군집과 반복 관측에서는 통상 표준오차가 정밀도를 과장할 수 있으므로 [4], 현재 탐색 보고서에는 p값과 신뢰구간을 내지 않는다. 이 결정은 추후 유리한 유의성을 얻기 위해 바꾸지 않는다.</w:t>
      </w:r>
    </w:p>
    <w:bookmarkEnd w:id="31"/>
    <w:bookmarkStart w:id="32" w:name="후속-실험-ai-사용-질문-허용"/>
    <w:p>
      <w:pPr>
        <w:pStyle w:val="Heading3"/>
      </w:pPr>
      <w:r>
        <w:t xml:space="preserve">4.2 후속 실험: AI 사용 × 질문 허용</w:t>
      </w:r>
    </w:p>
    <w:p>
      <w:pPr>
        <w:pStyle w:val="FirstParagraph"/>
      </w:pPr>
      <w:r>
        <w:t xml:space="preserve">비AI 기준선과 AI 경로를 정의한 뒤, 동일한 사례에 A∈{0,1}(AI 사용), H∈{0,1}(질문 허용)의 네 조건을 교차한다. optimizer·질문 규칙·비용·예산·응답 환경을 우선 공통으로 둔다. 실제 참여자에게 배정하는 실험이라면 처치·제시 순서의 무작위화와 참여자 내 반복을 별도로 설계한다.</w:t>
      </w:r>
    </w:p>
    <w:p>
      <w:pPr>
        <w:pStyle w:val="BodyText"/>
      </w:pPr>
      <m:oMathPara>
        <m:oMathParaPr>
          <m:jc m:val="center"/>
        </m:oMathParaPr>
        <m:oMath>
          <m:sSub>
            <m:e>
              <m:r>
                <m:t>Y</m:t>
              </m:r>
            </m:e>
            <m:sub>
              <m:r>
                <m:t>i</m:t>
              </m:r>
              <m:r>
                <m:t>j</m:t>
              </m:r>
            </m:sub>
          </m:sSub>
          <m:r>
            <m:rPr>
              <m:sty m:val="p"/>
            </m:rPr>
            <m:t>=</m:t>
          </m:r>
          <m:sSub>
            <m:e>
              <m:r>
                <m:t>α</m:t>
              </m:r>
            </m:e>
            <m:sub>
              <m:r>
                <m:t>i</m:t>
              </m:r>
            </m:sub>
          </m:sSub>
          <m:r>
            <m:rPr>
              <m:sty m:val="p"/>
            </m:rPr>
            <m:t>+</m:t>
          </m:r>
          <m:sSub>
            <m:e>
              <m:r>
                <m:t>β</m:t>
              </m:r>
            </m:e>
            <m:sub>
              <m:r>
                <m:t>A</m:t>
              </m:r>
            </m:sub>
          </m:sSub>
          <m:sSub>
            <m:e>
              <m:r>
                <m:t>A</m:t>
              </m:r>
            </m:e>
            <m:sub>
              <m:r>
                <m:t>j</m:t>
              </m:r>
            </m:sub>
          </m:sSub>
          <m:r>
            <m:rPr>
              <m:sty m:val="p"/>
            </m:rPr>
            <m:t>+</m:t>
          </m:r>
          <m:sSub>
            <m:e>
              <m:r>
                <m:t>β</m:t>
              </m:r>
            </m:e>
            <m:sub>
              <m:r>
                <m:t>H</m:t>
              </m:r>
            </m:sub>
          </m:sSub>
          <m:sSub>
            <m:e>
              <m:r>
                <m:t>H</m:t>
              </m:r>
            </m:e>
            <m:sub>
              <m:r>
                <m:t>j</m:t>
              </m:r>
            </m:sub>
          </m:sSub>
          <m:r>
            <m:rPr>
              <m:sty m:val="p"/>
            </m:rPr>
            <m:t>+</m:t>
          </m:r>
          <m:sSub>
            <m:e>
              <m:r>
                <m:t>β</m:t>
              </m:r>
            </m:e>
            <m:sub>
              <m:r>
                <m:t>A</m:t>
              </m:r>
              <m:r>
                <m:t>H</m:t>
              </m:r>
            </m:sub>
          </m:sSub>
          <m:sSub>
            <m:e>
              <m:r>
                <m:t>A</m:t>
              </m:r>
            </m:e>
            <m:sub>
              <m:r>
                <m:t>j</m:t>
              </m:r>
            </m:sub>
          </m:sSub>
          <m:sSub>
            <m:e>
              <m:r>
                <m:t>H</m:t>
              </m:r>
            </m:e>
            <m:sub>
              <m:r>
                <m:t>j</m:t>
              </m:r>
            </m:sub>
          </m:sSub>
          <m:r>
            <m:rPr>
              <m:sty m:val="p"/>
            </m:rPr>
            <m:t>+</m:t>
          </m:r>
          <m:sSup>
            <m:e>
              <m:r>
                <m:t>γ</m:t>
              </m:r>
            </m:e>
            <m:sup>
              <m:r>
                <m:rPr>
                  <m:sty m:val="p"/>
                </m:rPr>
                <m:t>⊤</m:t>
              </m:r>
            </m:sup>
          </m:sSup>
          <m:d>
            <m:dPr>
              <m:begChr m:val="("/>
              <m:sepChr m:val=""/>
              <m:endChr m:val=")"/>
              <m:grow/>
            </m:dPr>
            <m:e>
              <m:sSub>
                <m:e>
                  <m:r>
                    <m:t>A</m:t>
                  </m:r>
                </m:e>
                <m:sub>
                  <m:r>
                    <m:t>j</m:t>
                  </m:r>
                </m:sub>
              </m:sSub>
              <m:sSub>
                <m:e>
                  <m:r>
                    <m:t>X</m:t>
                  </m:r>
                </m:e>
                <m:sub>
                  <m:r>
                    <m:t>i</m:t>
                  </m:r>
                </m:sub>
              </m:sSub>
            </m:e>
          </m:d>
          <m:r>
            <m:rPr>
              <m:sty m:val="p"/>
            </m:rPr>
            <m:t>+</m:t>
          </m:r>
          <m:sSub>
            <m:e>
              <m:r>
                <m:t>ε</m:t>
              </m:r>
            </m:e>
            <m:sub>
              <m:r>
                <m:t>i</m:t>
              </m:r>
              <m:r>
                <m:t>j</m:t>
              </m:r>
            </m:sub>
          </m:sSub>
          <m:r>
            <m:rPr>
              <m:sty m:val="p"/>
            </m:rPr>
            <m:t>.</m:t>
          </m:r>
        </m:oMath>
      </m:oMathPara>
    </w:p>
    <w:p>
      <w:pPr>
        <w:pStyle w:val="FirstParagraph"/>
      </w:pPr>
      <w:r>
        <w:t xml:space="preserve">X는 처치 전 정의한 정보 누락·비용비·수요 불확실성이다. 사례 고정효과 αᵢ에 흡수되는 X의 주효과를 중복해 넣지 않는다. 손실을 Y로 쓸 때 βAH&lt;0은 해당 설계에서 결합의 추가 손실 감소를 뜻한다. 전체 효과는 원래 측정 단위로, 비용비·누락·응답 조건별 차이는 사전에 정한 상호작용으로 보고한다.</w:t>
      </w:r>
    </w:p>
    <w:p>
      <w:pPr>
        <w:pStyle w:val="BodyText"/>
      </w:pPr>
      <w:r>
        <w:t xml:space="preserve">현재 first·no_value·고정 질문 경로도 신경망 구성기나 수요 GRU를 사용할 수 있으므로 비AI 기준선으로 이름만 바꾸지 않는다. 비AI 경로의 입력 범위·수요 추정·모수 구성·결측 처리와 Train 검증을 먼저 완료해야 한다. 전체 AI 묶음 효과와 모수 구성만 바꾸는 효과를 각각 구분한다.</w:t>
      </w:r>
    </w:p>
    <w:p>
      <w:pPr>
        <w:pStyle w:val="BodyText"/>
      </w:pPr>
      <w:r>
        <w:t xml:space="preserve">주 정보효과 실험은 관리자 기준 b를 모든 조건에 제공하고 사실 정보 획득을 비교한다. 선호 자체가 미선택인 사례는 별도 층으로 둔다. 질문 없는 조건이 정책상 발주를 할 수 없는 상황의 차이를 일반적인 인간–AI 보완성으로 해석하지 않는다. 비AI 기준선·새 출처·검정력 설계가 아직 준비되지 않았으므로 이 2×2 실험은</w:t>
      </w:r>
      <w:r>
        <w:t xml:space="preserve"> </w:t>
      </w:r>
      <w:r>
        <w:rPr>
          <w:b/>
          <w:bCs/>
        </w:rPr>
        <w:t xml:space="preserve">설계 단계이며 실행·사전등록 완료 상태가 아니다</w:t>
      </w:r>
      <w:r>
        <w:t xml:space="preserve">.</w:t>
      </w:r>
    </w:p>
    <w:bookmarkEnd w:id="32"/>
    <w:bookmarkEnd w:id="33"/>
    <w:bookmarkStart w:id="39" w:name="현재-모델과-검증된-범위"/>
    <w:p>
      <w:pPr>
        <w:pStyle w:val="Heading2"/>
      </w:pPr>
      <w:r>
        <w:t xml:space="preserve">5. 현재 모델과 검증된 범위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현재 상태</w:t>
            </w:r>
          </w:p>
        </w:tc>
      </w:tr>
      <w:tr>
        <w:tc>
          <w:tcPr/>
          <w:p>
            <w:pPr>
              <w:pStyle w:val="Compact"/>
            </w:pPr>
            <w:r>
              <w:t xml:space="preserve">선택 모델</w:t>
            </w:r>
          </w:p>
        </w:tc>
        <w:tc>
          <w:tcPr/>
          <w:p>
            <w:pPr>
              <w:pStyle w:val="Compact"/>
            </w:pPr>
            <w:r>
              <w:t xml:space="preserve">공개 recovery-v1 가중치와 scoped 모수 선택 경로; 약 151.88M 파라미터</w:t>
            </w:r>
          </w:p>
        </w:tc>
      </w:tr>
      <w:tr>
        <w:tc>
          <w:tcPr/>
          <w:p>
            <w:pPr>
              <w:pStyle w:val="Compact"/>
            </w:pPr>
            <w:r>
              <w:t xml:space="preserve">언어·수요 경로</w:t>
            </w:r>
          </w:p>
        </w:tc>
        <w:tc>
          <w:tcPr/>
          <w:p>
            <w:pPr>
              <w:pStyle w:val="Compact"/>
            </w:pPr>
            <w:r>
              <w:t xml:space="preserve">학습한 ModernBERT-base + 모수·근거·상태 head + 2층 GRU(hidden 128)</w:t>
            </w:r>
          </w:p>
        </w:tc>
      </w:tr>
      <w:tr>
        <w:tc>
          <w:tcPr/>
          <w:p>
            <w:pPr>
              <w:pStyle w:val="Compact"/>
            </w:pPr>
            <w:r>
              <w:t xml:space="preserve">결정</w:t>
            </w:r>
          </w:p>
        </w:tc>
        <w:tc>
          <w:tcPr/>
          <w:p>
            <w:pPr>
              <w:pStyle w:val="Compact"/>
            </w:pPr>
            <w:r>
              <w:t xml:space="preserve">관측 상태에서 질문·조회·보류·optimizer 전달; 문장 생성 불필요</w:t>
            </w:r>
          </w:p>
        </w:tc>
      </w:tr>
      <w:tr>
        <w:tc>
          <w:tcPr/>
          <w:p>
            <w:pPr>
              <w:pStyle w:val="Compact"/>
            </w:pPr>
            <w:r>
              <w:t xml:space="preserve">최신 비교</w:t>
            </w:r>
          </w:p>
        </w:tc>
        <w:tc>
          <w:tcPr/>
          <w:p>
            <w:pPr>
              <w:pStyle w:val="Compact"/>
            </w:pPr>
            <w:r>
              <w:t xml:space="preserve">가중치를 고정한 L40S 구성 수정 비교 완료; 새 학습 효과와 구분</w:t>
            </w:r>
          </w:p>
        </w:tc>
      </w:tr>
      <w:tr>
        <w:tc>
          <w:tcPr/>
          <w:p>
            <w:pPr>
              <w:pStyle w:val="Compact"/>
            </w:pPr>
            <w:r>
              <w:t xml:space="preserve">원래 생성 Dev</w:t>
            </w:r>
          </w:p>
        </w:tc>
        <w:tc>
          <w:tcPr/>
          <w:p>
            <w:pPr>
              <w:pStyle w:val="Compact"/>
            </w:pPr>
            <w:r>
              <w:t xml:space="preserve">평균 총손실 147.6813 유지; 60사례·12 family</w:t>
            </w:r>
          </w:p>
        </w:tc>
      </w:tr>
      <w:tr>
        <w:tc>
          <w:tcPr/>
          <w:p>
            <w:pPr>
              <w:pStyle w:val="Compact"/>
            </w:pPr>
            <w:r>
              <w:t xml:space="preserve">원래 판매 Dev</w:t>
            </w:r>
          </w:p>
        </w:tc>
        <w:tc>
          <w:tcPr/>
          <w:p>
            <w:pPr>
              <w:pStyle w:val="Compact"/>
            </w:pPr>
            <w:r>
              <w:t xml:space="preserve">평균 총손실 24.3925 유지; 정확한 손실 5기간·4출처·35조건</w:t>
            </w:r>
          </w:p>
        </w:tc>
      </w:tr>
      <w:tr>
        <w:tc>
          <w:tcPr/>
          <w:p>
            <w:pPr>
              <w:pStyle w:val="Compact"/>
            </w:pPr>
            <w:r>
              <w:t xml:space="preserve">문서 혼입</w:t>
            </w:r>
          </w:p>
        </w:tc>
        <w:tc>
          <w:tcPr/>
          <w:p>
            <w:pPr>
              <w:pStyle w:val="Compact"/>
            </w:pPr>
            <w:r>
              <w:t xml:space="preserve">초기 모수 56.50</w:t>
            </w:r>
            <w:r>
              <w:rPr>
                <w:vertAlign w:val="subscript"/>
              </w:rPr>
              <w:t xml:space="preserve">57.58%→84.72</w:t>
            </w:r>
            <w:r>
              <w:t xml:space="preserve">85.29%, 근거 42.25</w:t>
            </w:r>
            <w:r>
              <w:rPr>
                <w:vertAlign w:val="subscript"/>
              </w:rPr>
              <w:t xml:space="preserve">43.67%→79.72</w:t>
            </w:r>
            <w:r>
              <w:t xml:space="preserve">80.47%</w:t>
            </w:r>
          </w:p>
        </w:tc>
      </w:tr>
      <w:tr>
        <w:tc>
          <w:tcPr/>
          <w:p>
            <w:pPr>
              <w:pStyle w:val="Compact"/>
            </w:pPr>
            <w:r>
              <w:t xml:space="preserve">질문·실제 출력</w:t>
            </w:r>
          </w:p>
        </w:tc>
        <w:tc>
          <w:tcPr/>
          <w:p>
            <w:pPr>
              <w:pStyle w:val="Compact"/>
            </w:pPr>
            <w:r>
              <w:t xml:space="preserve">세 혼입 조건의 판매 불필요 질문 454</w:t>
            </w:r>
            <w:r>
              <w:rPr>
                <w:vertAlign w:val="subscript"/>
              </w:rPr>
              <w:t xml:space="preserve">475→189</w:t>
            </w:r>
            <w:r>
              <w:t xml:space="preserve">190; 종료 손실·총손실 감소</w:t>
            </w:r>
          </w:p>
        </w:tc>
      </w:tr>
      <w:tr>
        <w:tc>
          <w:tcPr/>
          <w:p>
            <w:pPr>
              <w:pStyle w:val="Compact"/>
            </w:pPr>
            <w:r>
              <w:t xml:space="preserve">추가 가치 학습</w:t>
            </w:r>
          </w:p>
        </w:tc>
        <w:tc>
          <w:tcPr/>
          <w:p>
            <w:pPr>
              <w:pStyle w:val="Compact"/>
            </w:pPr>
            <w:r>
              <w:t xml:space="preserve">여러 통제 판매 비교에서 단순 규칙의 추가 이점을 넘어서지 못함</w:t>
            </w:r>
          </w:p>
        </w:tc>
      </w:tr>
      <w:tr>
        <w:tc>
          <w:tcPr/>
          <w:p>
            <w:pPr>
              <w:pStyle w:val="Compact"/>
            </w:pPr>
            <w:r>
              <w:t xml:space="preserve">기존 생성 Test</w:t>
            </w:r>
          </w:p>
        </w:tc>
        <w:tc>
          <w:tcPr/>
          <w:p>
            <w:pPr>
              <w:pStyle w:val="Compact"/>
            </w:pPr>
            <w:r>
              <w:t xml:space="preserve">이전 모델 243.6274; 기존 240.35 기준 미달, 새 모델 결과로 표시하지 않음</w:t>
            </w:r>
          </w:p>
        </w:tc>
      </w:tr>
    </w:tbl>
    <w:p>
      <w:pPr>
        <w:pStyle w:val="BodyText"/>
      </w:pPr>
      <w:hyperlink r:id="rId34">
        <w:r>
          <w:rPr>
            <w:rStyle w:val="Hyperlink"/>
          </w:rPr>
          <w:t xml:space="preserve">구성 수정의 전체 결과</w:t>
        </w:r>
      </w:hyperlink>
      <w:r>
        <w:t xml:space="preserve">,</w:t>
      </w:r>
      <w:r>
        <w:t xml:space="preserve"> </w:t>
      </w:r>
      <w:hyperlink r:id="rId35">
        <w:r>
          <w:rPr>
            <w:rStyle w:val="Hyperlink"/>
          </w:rPr>
          <w:t xml:space="preserve">수요 모델 선택</w:t>
        </w:r>
      </w:hyperlink>
      <w:r>
        <w:t xml:space="preserve">,</w:t>
      </w:r>
      <w:r>
        <w:t xml:space="preserve"> </w:t>
      </w:r>
      <w:hyperlink r:id="rId36">
        <w:r>
          <w:rPr>
            <w:rStyle w:val="Hyperlink"/>
          </w:rPr>
          <w:t xml:space="preserve">선택 가중치</w:t>
        </w:r>
      </w:hyperlink>
      <w:r>
        <w:t xml:space="preserve">,</w:t>
      </w:r>
      <w:r>
        <w:t xml:space="preserve"> </w:t>
      </w:r>
      <w:hyperlink r:id="rId37">
        <w:r>
          <w:rPr>
            <w:rStyle w:val="Hyperlink"/>
          </w:rPr>
          <w:t xml:space="preserve">새 출처의 과거 평가</w:t>
        </w:r>
      </w:hyperlink>
      <w:r>
        <w:t xml:space="preserve">를 참조한다. 위 수치는 과거 고정 측정이며 이번 문서 정리로 다시 측정하지 않았다. 새 탐색 회귀의 결과·자료 hash는</w:t>
      </w:r>
      <w:r>
        <w:t xml:space="preserve"> </w:t>
      </w:r>
      <w:hyperlink r:id="rId38">
        <w:r>
          <w:rPr>
            <w:rStyle w:val="Hyperlink"/>
          </w:rPr>
          <w:t xml:space="preserve">decision-effects.md</w:t>
        </w:r>
      </w:hyperlink>
      <w:r>
        <w:t xml:space="preserve">에 둔다.</w:t>
      </w:r>
    </w:p>
    <w:p>
      <w:pPr>
        <w:pStyle w:val="BodyText"/>
      </w:pPr>
      <w:r>
        <w:t xml:space="preserve">판매 336사례의 질문 지표와 35조건의 정확한 손실 분모를 섞지 않는다. 품절 판매를 잠재 수요로 대체하지 않는다. 문서 조건·응답 조합·seed의 반복은 독립 출처 수를 늘리지 않는다. 이미 동결 평가한 27개 출처도 새 확증 표본으로 재명명하지 않는다. 생성 문서·비용·응답의 성과를 실제 조직 효과로 주장하지 않는다.</w:t>
      </w:r>
    </w:p>
    <w:bookmarkEnd w:id="39"/>
    <w:bookmarkStart w:id="41" w:name="진행-순서와-완료-기준"/>
    <w:p>
      <w:pPr>
        <w:pStyle w:val="Heading2"/>
      </w:pPr>
      <w:r>
        <w:t xml:space="preserve">6. 진행 순서와 완료 기준</w:t>
      </w:r>
    </w:p>
    <w:p>
      <w:pPr>
        <w:pStyle w:val="Compact"/>
        <w:numPr>
          <w:ilvl w:val="0"/>
          <w:numId w:val="1001"/>
        </w:numPr>
      </w:pPr>
      <w:r>
        <w:t xml:space="preserve">현재 연구 문서와 기존 구현·측정을 통합하고 위 이론과 식별 대상을 명시한다.</w:t>
      </w:r>
    </w:p>
    <w:p>
      <w:pPr>
        <w:pStyle w:val="Compact"/>
        <w:numPr>
          <w:ilvl w:val="0"/>
          <w:numId w:val="1001"/>
        </w:numPr>
      </w:pPr>
      <w:r>
        <w:t xml:space="preserve">기존 공개 Dev를 사용한 탐색 회귀·출처 민감도·수치 항등식 검증을 실행해 재현 자료를 제공한다.</w:t>
      </w:r>
    </w:p>
    <w:p>
      <w:pPr>
        <w:pStyle w:val="Compact"/>
        <w:numPr>
          <w:ilvl w:val="0"/>
          <w:numId w:val="1001"/>
        </w:numPr>
      </w:pPr>
      <w:r>
        <w:t xml:space="preserve">비AI 기준선을 관측 입력만으로 구현·Train 검증하고, 동일 입력·질문 정책·optimizer의 2×2 파일럿을 실행한다. 그 전에는 AI 도입 효과를 보고하지 않는다.</w:t>
      </w:r>
    </w:p>
    <w:p>
      <w:pPr>
        <w:pStyle w:val="Compact"/>
        <w:numPr>
          <w:ilvl w:val="0"/>
          <w:numId w:val="1001"/>
        </w:numPr>
      </w:pPr>
      <w:r>
        <w:t xml:space="preserve">독립적인 새 출처의 표본과 경제적으로 중요한 최소 효과를 정하고 검정력을 산정한다. 가설·제외 기준·측정 단위·군집·주 분석을 고정한 뒤 확증 실험을 수행한다.</w:t>
      </w:r>
    </w:p>
    <w:p>
      <w:pPr>
        <w:pStyle w:val="Compact"/>
        <w:numPr>
          <w:ilvl w:val="0"/>
          <w:numId w:val="1001"/>
        </w:numPr>
      </w:pPr>
      <w:r>
        <w:t xml:space="preserve">실제 사람의 판단 변화는 별도 참여자 실험으로 진행한다. 현재 코드의 응답 시뮬레이션으로 대체하지 않는다.</w:t>
      </w:r>
    </w:p>
    <w:p>
      <w:pPr>
        <w:pStyle w:val="FirstParagraph"/>
      </w:pPr>
      <w:r>
        <w:t xml:space="preserve">연구의 완료는 유의한 양의 효과나 임의의 정확도 달성을 전제로 하지 않는다. 추적 가능한 자료, 유효한 비교군, 효과와 불확실성, 영효과·악화 조건까지 설명할 수 있는지가 기준이다. 과거 성능 기준의 적용 범위는</w:t>
      </w:r>
      <w:r>
        <w:t xml:space="preserve"> </w:t>
      </w:r>
      <w:hyperlink r:id="rId40">
        <w:r>
          <w:rPr>
            <w:rStyle w:val="Hyperlink"/>
          </w:rPr>
          <w:t xml:space="preserve">performance-goal.md</w:t>
        </w:r>
      </w:hyperlink>
      <w:r>
        <w:t xml:space="preserve">에 보존한다.</w:t>
      </w:r>
    </w:p>
    <w:bookmarkEnd w:id="41"/>
    <w:bookmarkStart w:id="46" w:name="참고문헌"/>
    <w:p>
      <w:pPr>
        <w:pStyle w:val="Heading2"/>
      </w:pPr>
      <w:r>
        <w:t xml:space="preserve">참고문헌</w:t>
      </w:r>
    </w:p>
    <w:p>
      <w:pPr>
        <w:pStyle w:val="FirstParagraph"/>
      </w:pPr>
      <w:r>
        <w:t xml:space="preserve">[1] A. Agrawal, J. S. Gans, and A. Goldfarb,</w:t>
      </w:r>
      <w:r>
        <w:t xml:space="preserve"> </w:t>
      </w:r>
      <w:r>
        <w:t xml:space="preserve">“Exploring the impact of artificial intelligence: Prediction versus judgment,”</w:t>
      </w:r>
      <w:r>
        <w:t xml:space="preserve"> </w:t>
      </w:r>
      <w:r>
        <w:rPr>
          <w:i/>
          <w:iCs/>
        </w:rPr>
        <w:t xml:space="preserve">Information Economics and Policy</w:t>
      </w:r>
      <w:r>
        <w:t xml:space="preserve">, vol. 47, pp. 1–6, 2019.</w:t>
      </w:r>
      <w:r>
        <w:t xml:space="preserve"> </w:t>
      </w:r>
      <w:hyperlink r:id="rId42">
        <w:r>
          <w:rPr>
            <w:rStyle w:val="Hyperlink"/>
          </w:rPr>
          <w:t xml:space="preserve">doi:10.1016/j.infoecopol.2019.05.001</w:t>
        </w:r>
      </w:hyperlink>
      <w:r>
        <w:t xml:space="preserve">.</w:t>
      </w:r>
    </w:p>
    <w:p>
      <w:pPr>
        <w:pStyle w:val="BodyText"/>
      </w:pPr>
      <w:r>
        <w:t xml:space="preserve">[2] A. N. Elmachtoub and P. Grigas,</w:t>
      </w:r>
      <w:r>
        <w:t xml:space="preserve"> </w:t>
      </w:r>
      <w:r>
        <w:t xml:space="preserve">“Smart</w:t>
      </w:r>
      <w:r>
        <w:t xml:space="preserve"> </w:t>
      </w:r>
      <w:r>
        <w:t xml:space="preserve">‘Predict, then Optimize’</w:t>
      </w:r>
      <w:r>
        <w:t xml:space="preserve">,”</w:t>
      </w:r>
      <w:r>
        <w:t xml:space="preserve"> </w:t>
      </w:r>
      <w:r>
        <w:rPr>
          <w:i/>
          <w:iCs/>
        </w:rPr>
        <w:t xml:space="preserve">Management Science</w:t>
      </w:r>
      <w:r>
        <w:t xml:space="preserve">, vol. 68, no. 1, pp. 9–26, 2022, first published online 2021.</w:t>
      </w:r>
      <w:r>
        <w:t xml:space="preserve"> </w:t>
      </w:r>
      <w:hyperlink r:id="rId43">
        <w:r>
          <w:rPr>
            <w:rStyle w:val="Hyperlink"/>
          </w:rPr>
          <w:t xml:space="preserve">doi:10.1287/mnsc.2020.3922</w:t>
        </w:r>
      </w:hyperlink>
      <w:r>
        <w:t xml:space="preserve">.</w:t>
      </w:r>
    </w:p>
    <w:p>
      <w:pPr>
        <w:pStyle w:val="BodyText"/>
      </w:pPr>
      <w:r>
        <w:t xml:space="preserve">[3] J. M. Montgomery, B. Nyhan, and M. Torres,</w:t>
      </w:r>
      <w:r>
        <w:t xml:space="preserve"> </w:t>
      </w:r>
      <w:r>
        <w:t xml:space="preserve">“How conditioning on posttreatment variables can ruin your experiment and what to do about it,”</w:t>
      </w:r>
      <w:r>
        <w:t xml:space="preserve"> </w:t>
      </w:r>
      <w:r>
        <w:rPr>
          <w:i/>
          <w:iCs/>
        </w:rPr>
        <w:t xml:space="preserve">American Journal of Political Science</w:t>
      </w:r>
      <w:r>
        <w:t xml:space="preserve">, vol. 62, no. 3, pp. 760–775, 2018.</w:t>
      </w:r>
      <w:r>
        <w:t xml:space="preserve"> </w:t>
      </w:r>
      <w:hyperlink r:id="rId44">
        <w:r>
          <w:rPr>
            <w:rStyle w:val="Hyperlink"/>
          </w:rPr>
          <w:t xml:space="preserve">doi:10.1111/ajps.12357</w:t>
        </w:r>
      </w:hyperlink>
      <w:r>
        <w:t xml:space="preserve">.</w:t>
      </w:r>
    </w:p>
    <w:p>
      <w:pPr>
        <w:pStyle w:val="BodyText"/>
      </w:pPr>
      <w:r>
        <w:t xml:space="preserve">[4] A. C. Cameron and D. L. Miller,</w:t>
      </w:r>
      <w:r>
        <w:t xml:space="preserve"> </w:t>
      </w:r>
      <w:r>
        <w:t xml:space="preserve">“A practitioner’s guide to cluster-robust inference,”</w:t>
      </w:r>
      <w:r>
        <w:t xml:space="preserve"> </w:t>
      </w:r>
      <w:r>
        <w:rPr>
          <w:i/>
          <w:iCs/>
        </w:rPr>
        <w:t xml:space="preserve">Journal of Human Resources</w:t>
      </w:r>
      <w:r>
        <w:t xml:space="preserve">, vol. 50, no. 2, pp. 317–372, 2015.</w:t>
      </w:r>
      <w:r>
        <w:t xml:space="preserve"> </w:t>
      </w:r>
      <w:hyperlink r:id="rId45">
        <w:r>
          <w:rPr>
            <w:rStyle w:val="Hyperlink"/>
          </w:rPr>
          <w:t xml:space="preserve">doi:10.3368/jhr.50.2.317</w:t>
        </w:r>
      </w:hyperlink>
      <w:r>
        <w:t xml:space="preserve">.</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src/newsvendor/decision_effects.py" TargetMode="External" /><Relationship Type="http://schemas.openxmlformats.org/officeDocument/2006/relationships/hyperlink" Id="rId38" Target="decision-effects.md" TargetMode="External" /><Relationship Type="http://schemas.openxmlformats.org/officeDocument/2006/relationships/hyperlink" Id="rId35" Target="demand-selection.md" TargetMode="External" /><Relationship Type="http://schemas.openxmlformats.org/officeDocument/2006/relationships/hyperlink" Id="rId22" Target="experiment-history.md" TargetMode="External" /><Relationship Type="http://schemas.openxmlformats.org/officeDocument/2006/relationships/hyperlink" Id="rId42" Target="https://doi.org/10.1016/j.infoecopol.2019.05.001" TargetMode="External" /><Relationship Type="http://schemas.openxmlformats.org/officeDocument/2006/relationships/hyperlink" Id="rId44" Target="https://doi.org/10.1111/ajps.12357" TargetMode="External" /><Relationship Type="http://schemas.openxmlformats.org/officeDocument/2006/relationships/hyperlink" Id="rId43" Target="https://doi.org/10.1287/mnsc.2020.3922" TargetMode="External" /><Relationship Type="http://schemas.openxmlformats.org/officeDocument/2006/relationships/hyperlink" Id="rId45" Target="https://doi.org/10.3368/jhr.50.2.317" TargetMode="External" /><Relationship Type="http://schemas.openxmlformats.org/officeDocument/2006/relationships/hyperlink" Id="rId36" Target="model-bundle.md" TargetMode="External" /><Relationship Type="http://schemas.openxmlformats.org/officeDocument/2006/relationships/hyperlink" Id="rId34" Target="parameter-decoding.md" TargetMode="External" /><Relationship Type="http://schemas.openxmlformats.org/officeDocument/2006/relationships/hyperlink" Id="rId40" Target="performance-goal.md" TargetMode="External" /><Relationship Type="http://schemas.openxmlformats.org/officeDocument/2006/relationships/hyperlink" Id="rId20" Target="proposal.docx" TargetMode="External" /><Relationship Type="http://schemas.openxmlformats.org/officeDocument/2006/relationships/hyperlink" Id="rId21" Target="protocol.md" TargetMode="External" /><Relationship Type="http://schemas.openxmlformats.org/officeDocument/2006/relationships/hyperlink" Id="rId37" Target="retail-holdout.md" TargetMode="External" /></Relationships>
</file>

<file path=word/_rels/footnotes.xml.rels><?xml version="1.0" encoding="UTF-8"?><Relationships xmlns="http://schemas.openxmlformats.org/package/2006/relationships"><Relationship Type="http://schemas.openxmlformats.org/officeDocument/2006/relationships/hyperlink" Id="rId26" Target="../src/newsvendor/decision_effects.py" TargetMode="External" /><Relationship Type="http://schemas.openxmlformats.org/officeDocument/2006/relationships/hyperlink" Id="rId38" Target="decision-effects.md" TargetMode="External" /><Relationship Type="http://schemas.openxmlformats.org/officeDocument/2006/relationships/hyperlink" Id="rId35" Target="demand-selection.md" TargetMode="External" /><Relationship Type="http://schemas.openxmlformats.org/officeDocument/2006/relationships/hyperlink" Id="rId22" Target="experiment-history.md" TargetMode="External" /><Relationship Type="http://schemas.openxmlformats.org/officeDocument/2006/relationships/hyperlink" Id="rId42" Target="https://doi.org/10.1016/j.infoecopol.2019.05.001" TargetMode="External" /><Relationship Type="http://schemas.openxmlformats.org/officeDocument/2006/relationships/hyperlink" Id="rId44" Target="https://doi.org/10.1111/ajps.12357" TargetMode="External" /><Relationship Type="http://schemas.openxmlformats.org/officeDocument/2006/relationships/hyperlink" Id="rId43" Target="https://doi.org/10.1287/mnsc.2020.3922" TargetMode="External" /><Relationship Type="http://schemas.openxmlformats.org/officeDocument/2006/relationships/hyperlink" Id="rId45" Target="https://doi.org/10.3368/jhr.50.2.317" TargetMode="External" /><Relationship Type="http://schemas.openxmlformats.org/officeDocument/2006/relationships/hyperlink" Id="rId36" Target="model-bundle.md" TargetMode="External" /><Relationship Type="http://schemas.openxmlformats.org/officeDocument/2006/relationships/hyperlink" Id="rId34" Target="parameter-decoding.md" TargetMode="External" /><Relationship Type="http://schemas.openxmlformats.org/officeDocument/2006/relationships/hyperlink" Id="rId40" Target="performance-goal.md" TargetMode="External" /><Relationship Type="http://schemas.openxmlformats.org/officeDocument/2006/relationships/hyperlink" Id="rId20" Target="proposal.docx" TargetMode="External" /><Relationship Type="http://schemas.openxmlformats.org/officeDocument/2006/relationships/hyperlink" Id="rId21" Target="protocol.md" TargetMode="External" /><Relationship Type="http://schemas.openxmlformats.org/officeDocument/2006/relationships/hyperlink" Id="rId37" Target="retail-holdou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ko-KR</dc:language>
  <cp:keywords/>
  <dcterms:created xsi:type="dcterms:W3CDTF">2026-10-10T11:21:53Z</dcterms:created>
  <dcterms:modified xsi:type="dcterms:W3CDTF">2026-10-10T11:21:53Z</dcterms:modified>
</cp:coreProperties>
</file>

<file path=docProps/custom.xml><?xml version="1.0" encoding="utf-8"?>
<Properties xmlns="http://schemas.openxmlformats.org/officeDocument/2006/custom-properties" xmlns:vt="http://schemas.openxmlformats.org/officeDocument/2006/docPropsVTypes"/>
</file>