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/>
      </w:pPr>
      <w:r>
        <w:rPr>
          <w:b/>
          <w:bCs/>
          <w:color w:val="B03A2E"/>
          <w:spacing w:val="20"/>
          <w:sz w:val="16"/>
          <w:szCs w:val="16"/>
        </w:rPr>
        <w:t>КОНФИДЕНЦИАЛЬНО · ТОЛЬКО ДЛЯ НЕПОСРЕДСТВЕННОГО РУКОВОДИТЕЛЯ</w:t>
      </w:r>
    </w:p>
    <w:p>
      <w:pPr>
        <w:pStyle w:val="Normal"/>
        <w:spacing w:before="0" w:after="40"/>
        <w:rPr/>
      </w:pPr>
      <w:r>
        <w:rPr>
          <w:b/>
          <w:bCs/>
          <w:color w:val="1F3A5F"/>
          <w:sz w:val="34"/>
          <w:szCs w:val="34"/>
        </w:rPr>
        <w:t>Отчёт по аттестации — краткая версия</w:t>
      </w:r>
    </w:p>
    <w:p>
      <w:pPr>
        <w:pStyle w:val="Normal"/>
        <w:spacing w:before="0" w:after="40"/>
        <w:rPr/>
      </w:pPr>
      <w:r>
        <w:rPr>
          <w:color w:val="5F6B7A"/>
          <w:sz w:val="24"/>
          <w:szCs w:val="24"/>
        </w:rPr>
        <w:t>Малыгина Татьяна · бухгалтер финансового отдела</w:t>
      </w:r>
    </w:p>
    <w:p>
      <w:pPr>
        <w:pStyle w:val="Normal"/>
        <w:pBdr>
          <w:bottom w:val="single" w:sz="8" w:space="6" w:color="2E6DA4"/>
        </w:pBdr>
        <w:spacing w:before="0" w:after="200"/>
        <w:rPr/>
      </w:pPr>
      <w:r>
        <w:rPr>
          <w:color w:val="5F6B7A"/>
          <w:sz w:val="18"/>
          <w:szCs w:val="18"/>
        </w:rPr>
        <w:t>Аттестация 14.10.2026 · отчёт 20.10.2026 · для руководителя финансового отдела</w:t>
      </w:r>
    </w:p>
    <w:p>
      <w:pPr>
        <w:pStyle w:val="1"/>
        <w:rPr/>
      </w:pPr>
      <w:r>
        <w:rPr/>
        <w:t>1. Главное</w:t>
      </w:r>
    </w:p>
    <w:p>
      <w:pPr>
        <w:pStyle w:val="ListParagraph"/>
        <w:numPr>
          <w:ilvl w:val="0"/>
          <w:numId w:val="4"/>
        </w:numPr>
        <w:spacing w:lineRule="exact" w:line="260" w:before="0" w:after="60"/>
        <w:rPr/>
      </w:pPr>
      <w:r>
        <w:rPr>
          <w:b/>
          <w:bCs/>
        </w:rPr>
        <w:t>Надёжная и дисциплинированная:</w:t>
      </w:r>
      <w:r>
        <w:rPr/>
        <w:t xml:space="preserve"> добросовестность 19 из 20.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По складу — «человек людей», а не цифр:</w:t>
      </w:r>
      <w:r>
        <w:rPr/>
        <w:t xml:space="preserve"> интерес к цифрам и документам — 1 из 8 (минимум профиля), экстраверсия 18 из 20, лидерство 19 из 25. Бухгалтерию тянет на самодисциплине — отсюда риск усталости, ошибок от монотонности и ухода.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Снаружи спокойна, внутри напряжена:</w:t>
      </w:r>
      <w:r>
        <w:rPr/>
        <w:t xml:space="preserve"> личностная тревожность 48 (высокая), сама пишет «не покажу тревогу».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Склонность к подковерным играм низкая.</w:t>
      </w:r>
      <w:r>
        <w:rPr/>
        <w:t xml:space="preserve"> Риски другие: резко обесценивает тех, кто публично сомневается в её компетентности, и может сразу уйти при личной критике сверху.</w:t>
      </w:r>
    </w:p>
    <w:p>
      <w:pPr>
        <w:pStyle w:val="1"/>
        <w:rPr/>
      </w:pPr>
      <w:r>
        <w:rPr/>
        <w:t>2. Ключевые показатели</w:t>
      </w:r>
    </w:p>
    <w:tbl>
      <w:tblPr>
        <w:tblW w:w="9638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900"/>
        <w:gridCol w:w="2249"/>
        <w:gridCol w:w="4489"/>
      </w:tblGrid>
      <w:tr>
        <w:trPr>
          <w:tblHeader w:val="true"/>
          <w:cantSplit w:val="true"/>
        </w:trPr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DCE6F0" w:val="clear"/>
            <w:vAlign w:val="cente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color w:val="1F3A5F"/>
                <w:sz w:val="18"/>
                <w:szCs w:val="18"/>
              </w:rPr>
              <w:t>Показатель</w:t>
            </w:r>
          </w:p>
        </w:tc>
        <w:tc>
          <w:tcPr>
            <w:tcW w:w="22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DCE6F0" w:val="clear"/>
            <w:vAlign w:val="cente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color w:val="1F3A5F"/>
                <w:sz w:val="18"/>
                <w:szCs w:val="18"/>
              </w:rPr>
              <w:t>Результат</w:t>
            </w:r>
          </w:p>
        </w:tc>
        <w:tc>
          <w:tcPr>
            <w:tcW w:w="448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DCE6F0" w:val="clear"/>
            <w:vAlign w:val="cente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color w:val="1F3A5F"/>
                <w:sz w:val="18"/>
                <w:szCs w:val="18"/>
              </w:rPr>
              <w:t>Что это значит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sz w:val="18"/>
                <w:szCs w:val="18"/>
              </w:rPr>
              <w:t>Добросовестность</w:t>
            </w:r>
          </w:p>
        </w:tc>
        <w:tc>
          <w:tcPr>
            <w:tcW w:w="22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19 из 20 — высокий</w:t>
            </w:r>
          </w:p>
        </w:tc>
        <w:tc>
          <w:tcPr>
            <w:tcW w:w="448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Порядок, точность, сроки — главная опора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sz w:val="18"/>
                <w:szCs w:val="18"/>
              </w:rPr>
              <w:t>Экстраверсия</w:t>
            </w:r>
          </w:p>
        </w:tc>
        <w:tc>
          <w:tcPr>
            <w:tcW w:w="22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18 из 20 — высокий</w:t>
            </w:r>
          </w:p>
        </w:tc>
        <w:tc>
          <w:tcPr>
            <w:tcW w:w="448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Нужен живой контакт; одиночная работа с таблицами «разряжает»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sz w:val="18"/>
                <w:szCs w:val="18"/>
              </w:rPr>
              <w:t>Доброжелательность</w:t>
            </w:r>
          </w:p>
        </w:tc>
        <w:tc>
          <w:tcPr>
            <w:tcW w:w="22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17 из 20 — высокий</w:t>
            </w:r>
          </w:p>
        </w:tc>
        <w:tc>
          <w:tcPr>
            <w:tcW w:w="448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Кооперативна, но мягкость избирательная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sz w:val="18"/>
                <w:szCs w:val="18"/>
              </w:rPr>
              <w:t>Принятие решений</w:t>
            </w:r>
          </w:p>
        </w:tc>
        <w:tc>
          <w:tcPr>
            <w:tcW w:w="22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11 из 25 — низкий (на границе)</w:t>
            </w:r>
          </w:p>
        </w:tc>
        <w:tc>
          <w:tcPr>
            <w:tcW w:w="448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 неясных ситуациях ищет подтверждение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sz w:val="18"/>
                <w:szCs w:val="18"/>
              </w:rPr>
              <w:t>Лидерство и делегирование</w:t>
            </w:r>
          </w:p>
        </w:tc>
        <w:tc>
          <w:tcPr>
            <w:tcW w:w="22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19 из 25 — высокий</w:t>
            </w:r>
          </w:p>
        </w:tc>
        <w:tc>
          <w:tcPr>
            <w:tcW w:w="448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Лидерский ресурс в текущей роли, вероятно, не используется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sz w:val="18"/>
                <w:szCs w:val="18"/>
              </w:rPr>
              <w:t>Нейротизм / личностная тревожность</w:t>
            </w:r>
          </w:p>
        </w:tc>
        <w:tc>
          <w:tcPr>
            <w:tcW w:w="22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8 из 20 / 48 — высокая</w:t>
            </w:r>
          </w:p>
        </w:tc>
        <w:tc>
          <w:tcPr>
            <w:tcW w:w="448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Внешне ровная, внутри — фон переживаний об ошибках и оценке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sz w:val="18"/>
                <w:szCs w:val="18"/>
              </w:rPr>
              <w:t>Выгорание (CBI)</w:t>
            </w:r>
          </w:p>
        </w:tc>
        <w:tc>
          <w:tcPr>
            <w:tcW w:w="22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25 и 17,9 — низкое</w:t>
            </w:r>
          </w:p>
        </w:tc>
        <w:tc>
          <w:tcPr>
            <w:tcW w:w="448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По самоотчёту не выгорела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sz w:val="18"/>
                <w:szCs w:val="18"/>
              </w:rPr>
              <w:t>Интерес к знаковым системам (ДДО)</w:t>
            </w:r>
          </w:p>
        </w:tc>
        <w:tc>
          <w:tcPr>
            <w:tcW w:w="22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1 из 8 — низкий</w:t>
            </w:r>
          </w:p>
        </w:tc>
        <w:tc>
          <w:tcPr>
            <w:tcW w:w="448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color="auto" w:fill="F6F8FB" w:val="clear"/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Цифры и документы — наименее интересная для неё сфера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/>
                <w:bCs/>
                <w:sz w:val="18"/>
                <w:szCs w:val="18"/>
              </w:rPr>
              <w:t>Люшер, вегетативный коэффициент</w:t>
            </w:r>
          </w:p>
        </w:tc>
        <w:tc>
          <w:tcPr>
            <w:tcW w:w="22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0,85</w:t>
            </w:r>
          </w:p>
        </w:tc>
        <w:tc>
          <w:tcPr>
            <w:tcW w:w="448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</w:tcPr>
          <w:p>
            <w:pPr>
              <w:pStyle w:val="Normal"/>
              <w:widowControl w:val="false"/>
              <w:spacing w:lineRule="exact" w:line="245" w:before="0" w:after="0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Компенсированная усталость (слабый сигнал)</w:t>
            </w:r>
          </w:p>
        </w:tc>
      </w:tr>
    </w:tbl>
    <w:p>
      <w:pPr>
        <w:pStyle w:val="1"/>
        <w:rPr/>
      </w:pPr>
      <w:r>
        <w:rPr/>
        <w:t>3. Плюсы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Дисциплина и документальный след:</w:t>
      </w:r>
      <w:r>
        <w:rPr/>
        <w:t xml:space="preserve"> «Факты приложу согласования».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Устойчива в пиковые периоды:</w:t>
      </w:r>
      <w:r>
        <w:rPr/>
        <w:t xml:space="preserve"> стрессоустойчивость 20 из 25.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Ориентирована на решение:</w:t>
      </w:r>
      <w:r>
        <w:rPr/>
        <w:t xml:space="preserve"> примерно в 12 из 16 ситуаций-препятствий сразу предлагает действие.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Контактна и кооперативна</w:t>
      </w:r>
      <w:r>
        <w:rPr/>
        <w:t xml:space="preserve"> — может быть «мостом» между финансами и ресторанами.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Несогласие высказывает открыто, без войны:</w:t>
      </w:r>
      <w:r>
        <w:rPr/>
        <w:t xml:space="preserve"> «Спорить не буду, но свою точку зрения озвучу».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Принимает критику</w:t>
      </w:r>
      <w:r>
        <w:rPr/>
        <w:t xml:space="preserve"> от руководства и HR.</w:t>
      </w:r>
    </w:p>
    <w:p>
      <w:pPr>
        <w:pStyle w:val="1"/>
        <w:rPr/>
      </w:pPr>
      <w:r>
        <w:rPr/>
        <w:t>4. Минусы — явные и скрытые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Работа не по интересу:</w:t>
      </w:r>
      <w:r>
        <w:rPr/>
        <w:t xml:space="preserve"> знаковые системы — 1 из 8; держится на силе воли.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«Держит лицо»:</w:t>
      </w:r>
      <w:r>
        <w:rPr/>
        <w:t xml:space="preserve"> нейротизм 8 против тревожности 48; «Спокойно приму, не покажу тревогу». О проблемах вы, скорее всего, узнаете поздно.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Профиль, вероятно, приукрашен:</w:t>
      </w:r>
      <w:r>
        <w:rPr/>
        <w:t xml:space="preserve"> почти все положительные шкалы — в высокой зоне, ситуативная тревожность и выгорание — низкие, а шкалы лжи в батарее нет.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Жёсткость избирательная:</w:t>
      </w:r>
      <w:r>
        <w:rPr/>
        <w:t xml:space="preserve"> «комплимент за счет СУ Шефа» — наказание рублём; «Плохой шеф повар, если не умеет держать себя в руках» — обесценивание оппонента. Возможны трения с ресторанами. Если она участвует в расчёте зарплаты, проверьте, что знает законный порядок удержаний: штрафов ТК РФ не предусматривает.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Самоанализ «по сигналу сверху»:</w:t>
      </w:r>
      <w:r>
        <w:rPr/>
        <w:t xml:space="preserve"> «Если дошло до верха, подумаю о своем поведении».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Гордый внезапный уход:</w:t>
      </w:r>
      <w:r>
        <w:rPr/>
        <w:t xml:space="preserve"> на разочарование владельца — «Скажу спокойно до свидания, без выяснения причин. Пойду дальше!!!».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Скрытая усталость:</w:t>
      </w:r>
      <w:r>
        <w:rPr/>
        <w:t xml:space="preserve"> всё тянет сама («своими руками»), цветовой тест показывает компенсированную усталость.</w:t>
      </w:r>
    </w:p>
    <w:p>
      <w:pPr>
        <w:pStyle w:val="1"/>
        <w:rPr/>
      </w:pPr>
      <w:r>
        <w:rPr/>
        <w:t>5. Подковерные игры</w:t>
      </w:r>
    </w:p>
    <w:p>
      <w:pPr>
        <w:pStyle w:val="Normal"/>
        <w:spacing w:lineRule="exact" w:line="264" w:before="0" w:after="100"/>
        <w:rPr/>
      </w:pPr>
      <w:r>
        <w:rPr/>
        <w:t xml:space="preserve">Склонность к классическим играм — </w:t>
      </w:r>
      <w:r>
        <w:rPr>
          <w:b/>
          <w:bCs/>
        </w:rPr>
        <w:t>низкая</w:t>
      </w:r>
      <w:r>
        <w:rPr/>
        <w:t xml:space="preserve">, к «защитной политике» — </w:t>
      </w:r>
      <w:r>
        <w:rPr>
          <w:b/>
          <w:bCs/>
        </w:rPr>
        <w:t>умеренная</w:t>
      </w:r>
      <w:r>
        <w:rPr/>
        <w:t>. Прямой шкалы в батарее нет, вывод косвенный.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Против:</w:t>
      </w:r>
      <w:r>
        <w:rPr/>
        <w:t xml:space="preserve"> конфликтует открыто и публично, в 24 ответах ни одного хода «за спиной», импульсивно прямолинейна.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Наблюдать:</w:t>
      </w:r>
      <w:r>
        <w:rPr/>
        <w:t xml:space="preserve"> ориентацию на мнение сверху; подстраховку документами (в финансах это норма — не путать с интригой); риск «лагерей» «финансы против операционки»; при ощущении недооценки может стать неформальным центром недовольства («Деньги нужны ВСЕМ»).</w:t>
      </w:r>
    </w:p>
    <w:p>
      <w:pPr>
        <w:pStyle w:val="1"/>
        <w:rPr/>
      </w:pPr>
      <w:r>
        <w:rPr/>
        <w:t>6. Эмоциональное состояние и место в коллективе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Сейчас:</w:t>
      </w:r>
      <w:r>
        <w:rPr/>
        <w:t xml:space="preserve"> собрана и держится, но работает на самоконтроле; фон тревоги высокий, ресурс восстанавливается не полностью.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Что задевает:</w:t>
      </w:r>
      <w:r>
        <w:rPr/>
        <w:t xml:space="preserve"> личное неодобрение руководства, публичное сомнение в компетентности, несправедливые обвинения, тема денег, уход людей.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В отделе:</w:t>
      </w:r>
      <w:r>
        <w:rPr/>
        <w:t xml:space="preserve"> держится за «своих», говорит «мы»; профессионально может чувствовать себя не на своём месте.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Со смежниками:</w:t>
      </w:r>
      <w:r>
        <w:rPr/>
        <w:t xml:space="preserve"> опирается на себя, на обвинения отвечает фактами; с теми, кто публично спорит с её компетентностью, возможна холодная война.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>
          <w:b/>
          <w:bCs/>
        </w:rPr>
        <w:t>С руководством:</w:t>
      </w:r>
      <w:r>
        <w:rPr/>
        <w:t xml:space="preserve"> иерархию принимает, мнение озвучивает, подстраховывается документами; признание сверху для неё очень важно.</w:t>
      </w:r>
    </w:p>
    <w:p>
      <w:pPr>
        <w:pStyle w:val="1"/>
        <w:rPr/>
      </w:pPr>
      <w:r>
        <w:rPr/>
        <w:t>7. Что делать руководителю</w:t>
      </w:r>
    </w:p>
    <w:p>
      <w:pPr>
        <w:pStyle w:val="ListParagraph"/>
        <w:numPr>
          <w:ilvl w:val="0"/>
          <w:numId w:val="5"/>
        </w:numPr>
        <w:spacing w:lineRule="exact" w:line="260" w:before="0" w:after="60"/>
        <w:rPr/>
      </w:pPr>
      <w:r>
        <w:rPr>
          <w:b/>
          <w:bCs/>
        </w:rPr>
        <w:t>Разговор один на один на 30–40 минут</w:t>
      </w:r>
      <w:r>
        <w:rPr/>
        <w:t xml:space="preserve"> — наедине, начать с конкретного признания её работы.</w:t>
      </w:r>
    </w:p>
    <w:p>
      <w:pPr>
        <w:pStyle w:val="ListParagraph"/>
        <w:numPr>
          <w:ilvl w:val="0"/>
          <w:numId w:val="2"/>
        </w:numPr>
        <w:spacing w:lineRule="exact" w:line="260" w:before="0" w:after="60"/>
        <w:rPr/>
      </w:pPr>
      <w:r>
        <w:rPr>
          <w:b/>
          <w:bCs/>
        </w:rPr>
        <w:t>Сверить гипотезы с фактами:</w:t>
      </w:r>
      <w:r>
        <w:rPr/>
        <w:t xml:space="preserve"> сроки, ошибки, замечания, переработки.</w:t>
      </w:r>
    </w:p>
    <w:p>
      <w:pPr>
        <w:pStyle w:val="ListParagraph"/>
        <w:numPr>
          <w:ilvl w:val="0"/>
          <w:numId w:val="2"/>
        </w:numPr>
        <w:spacing w:lineRule="exact" w:line="260" w:before="0" w:after="60"/>
        <w:rPr/>
      </w:pPr>
      <w:r>
        <w:rPr>
          <w:b/>
          <w:bCs/>
        </w:rPr>
        <w:t>Добавить в роль контакт с людьми:</w:t>
      </w:r>
      <w:r>
        <w:rPr/>
        <w:t xml:space="preserve"> работа с ресторанами по документам, обучение администраторов, координация участка. Обсудить карьерные интересы.</w:t>
      </w:r>
    </w:p>
    <w:p>
      <w:pPr>
        <w:pStyle w:val="ListParagraph"/>
        <w:numPr>
          <w:ilvl w:val="0"/>
          <w:numId w:val="2"/>
        </w:numPr>
        <w:spacing w:lineRule="exact" w:line="260" w:before="0" w:after="60"/>
        <w:rPr/>
      </w:pPr>
      <w:r>
        <w:rPr>
          <w:b/>
          <w:bCs/>
        </w:rPr>
        <w:t>Обратная связь — о действиях, наедине,</w:t>
      </w:r>
      <w:r>
        <w:rPr/>
        <w:t xml:space="preserve"> с возможностью изложить свои аргументы. Без «я в вас разочарован» и публичной критики.</w:t>
      </w:r>
    </w:p>
    <w:p>
      <w:pPr>
        <w:pStyle w:val="ListParagraph"/>
        <w:numPr>
          <w:ilvl w:val="0"/>
          <w:numId w:val="2"/>
        </w:numPr>
        <w:spacing w:lineRule="exact" w:line="260" w:before="0" w:after="60"/>
        <w:rPr/>
      </w:pPr>
      <w:r>
        <w:rPr>
          <w:b/>
          <w:bCs/>
        </w:rPr>
        <w:t>Однозначные правила:</w:t>
      </w:r>
      <w:r>
        <w:rPr/>
        <w:t xml:space="preserve"> что решает сама, что согласует; принцип «четырёх глаз» — для всех.</w:t>
      </w:r>
    </w:p>
    <w:p>
      <w:pPr>
        <w:pStyle w:val="ListParagraph"/>
        <w:numPr>
          <w:ilvl w:val="0"/>
          <w:numId w:val="2"/>
        </w:numPr>
        <w:spacing w:lineRule="exact" w:line="260" w:before="0" w:after="60"/>
        <w:rPr/>
      </w:pPr>
      <w:r>
        <w:rPr>
          <w:b/>
          <w:bCs/>
        </w:rPr>
        <w:t>Признание — главный рычаг удержания.</w:t>
      </w:r>
      <w:r>
        <w:rPr/>
        <w:t xml:space="preserve"> «Всё нормально» не принимать за ответ.</w:t>
      </w:r>
    </w:p>
    <w:p>
      <w:pPr>
        <w:pStyle w:val="1"/>
        <w:rPr/>
      </w:pPr>
      <w:r>
        <w:rPr/>
        <w:t>8. Вопросы для разговора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/>
        <w:t>«Что в работе даёт вам энергию, а что забирает больше всего сил?»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/>
        <w:t>«Какие задачи вам интереснее всего, а какие вы делаете через силу?»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/>
        <w:t>«Был ли у вас опыт работы в ресторане? Хотелось бы больше работы с людьми?»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/>
        <w:t>«Какие решения вы принимаете с ощущением, что за ошибку строго спросят?»</w:t>
      </w:r>
    </w:p>
    <w:p>
      <w:pPr>
        <w:pStyle w:val="ListParagraph"/>
        <w:numPr>
          <w:ilvl w:val="0"/>
          <w:numId w:val="1"/>
        </w:numPr>
        <w:spacing w:lineRule="exact" w:line="260" w:before="0" w:after="60"/>
        <w:rPr/>
      </w:pPr>
      <w:r>
        <w:rPr/>
        <w:t>«Если вы почувствуете, что вас недооценивают, как я об этом узнаю?»</w:t>
      </w:r>
    </w:p>
    <w:p>
      <w:pPr>
        <w:pStyle w:val="Normal"/>
        <w:pBdr>
          <w:top w:val="single" w:sz="4" w:space="6" w:color="BFC9D4"/>
        </w:pBdr>
        <w:spacing w:lineRule="exact" w:line="240" w:before="140" w:after="0"/>
        <w:rPr>
          <w:i/>
          <w:i/>
          <w:iCs/>
          <w:color w:val="5F6B7A"/>
          <w:sz w:val="16"/>
          <w:szCs w:val="16"/>
        </w:rPr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850" w:footer="708" w:bottom="8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A94A3"/>
        <w:sz w:val="16"/>
        <w:szCs w:val="16"/>
      </w:rPr>
      <w:t xml:space="preserve">Конфиденциально · Малыгина Т.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color w:val="8A94A3"/>
        <w:sz w:val="16"/>
        <w:szCs w:val="16"/>
      </w:rPr>
      <w:t xml:space="preserve"> из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80" w:hanging="25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80" w:hanging="3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ru-RU" w:eastAsia="zh-CN" w:bidi="hi-IN"/>
    </w:rPr>
  </w:style>
  <w:style w:type="paragraph" w:styleId="1">
    <w:name w:val="Heading 1"/>
    <w:basedOn w:val="Normal"/>
    <w:next w:val="Normal"/>
    <w:qFormat/>
    <w:pPr>
      <w:keepNext w:val="true"/>
      <w:spacing w:before="180" w:after="80"/>
      <w:outlineLvl w:val="0"/>
    </w:pPr>
    <w:rPr>
      <w:rFonts w:ascii="Arial" w:hAnsi="Arial" w:eastAsia="Arial" w:cs="Arial"/>
      <w:b/>
      <w:bCs/>
      <w:color w:val="1F3A5F"/>
      <w:sz w:val="24"/>
      <w:szCs w:val="24"/>
    </w:rPr>
  </w:style>
  <w:style w:type="paragraph" w:styleId="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4">
    <w:name w:val="Heading 4"/>
    <w:basedOn w:val="Normal"/>
    <w:next w:val="Normal"/>
    <w:qFormat/>
    <w:pPr/>
    <w:rPr>
      <w:i/>
      <w:iCs/>
      <w:color w:val="2E74B5"/>
    </w:rPr>
  </w:style>
  <w:style w:type="paragraph" w:styleId="5">
    <w:name w:val="Heading 5"/>
    <w:basedOn w:val="Normal"/>
    <w:next w:val="Normal"/>
    <w:qFormat/>
    <w:pPr/>
    <w:rPr>
      <w:color w:val="2E74B5"/>
    </w:rPr>
  </w:style>
  <w:style w:type="paragraph" w:styleId="6">
    <w:name w:val="Heading 6"/>
    <w:basedOn w:val="Normal"/>
    <w:next w:val="Normal"/>
    <w:qFormat/>
    <w:pPr/>
    <w:rPr>
      <w:color w:val="1F4D78"/>
    </w:rPr>
  </w:style>
  <w:style w:type="character" w:styleId="Style8">
    <w:name w:val="Hyperlink"/>
    <w:uiPriority w:val="99"/>
    <w:unhideWhenUsed/>
    <w:rPr>
      <w:color w:val="0563C1"/>
      <w:u w:val="single"/>
    </w:rPr>
  </w:style>
  <w:style w:type="character" w:styleId="Style9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10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2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5">
    <w:name w:val="Title"/>
    <w:basedOn w:val="Normal"/>
    <w:next w:val="Normal"/>
    <w:qFormat/>
    <w:pPr/>
    <w:rPr>
      <w:sz w:val="56"/>
      <w:szCs w:val="56"/>
    </w:rPr>
  </w:style>
  <w:style w:type="paragraph" w:styleId="Strong">
    <w:name w:val="Strong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7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Style18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DOCX_Edit_PLUS/7.4.0.3$Windows_X86_64 LibreOffice_project/</Application>
  <AppVersion>15.0000</AppVersion>
  <Pages>3</Pages>
  <Words>803</Words>
  <Characters>4787</Characters>
  <CharactersWithSpaces>5506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2026-10-20T12:01:52Z</dcterms:created>
  <dc:creator>HR-дирекция</dc:creator>
  <dc:description/>
  <dc:language>ru-RU</dc:language>
  <cp:lastModifiedBy/>
  <dcterms:modified xsi:type="dcterms:W3CDTF">2026-10-20T15:05:27Z</dcterms:modified>
  <cp:revision>2</cp:revision>
  <dc:subject/>
  <dc:title>Отчёт по аттестации — краткая версия — Малыгина Татьяна</dc:title>
</cp:coreProperties>
</file>