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DOCX Multi-Format Pipeline</w:t>
        <w:br/>
        <w:t>Test Document</w:t>
      </w:r>
    </w:p>
    <w:p>
      <w:pPr>
        <w:jc w:val="center"/>
      </w:pPr>
      <w:r>
        <w:rPr>
          <w:i/>
          <w:color w:val="44472A"/>
          <w:sz w:val="28"/>
        </w:rPr>
        <w:t>A comprehensive specimen of word-processor features</w:t>
        <w:br/>
        <w:t>for conversion pipeline validation</w:t>
      </w:r>
    </w:p>
    <w:p>
      <w:pPr>
        <w:jc w:val="center"/>
      </w:pPr>
      <w:r>
        <w:rPr>
          <w:sz w:val="20"/>
        </w:rPr>
        <w:t>Version 1.0  |  2026-05-20  |  CC BY 4.0</w:t>
      </w:r>
    </w:p>
    <w:p>
      <w:r>
        <w:br w:type="page"/>
      </w:r>
    </w:p>
    <w:p>
      <w:pPr>
        <w:pStyle w:val="Heading1"/>
      </w:pPr>
      <w:r>
        <w:t>Contents</w:t>
      </w:r>
    </w:p>
    <w:p>
      <w:pPr/>
      <w:r>
        <w:fldChar w:fldCharType="begin"/>
      </w:r>
      <w:r>
        <w:instrText xml:space="preserve"> TOC \o "1-3" \h \z \u </w:instrText>
      </w:r>
      <w:r>
        <w:fldChar w:fldCharType="separate"/>
      </w:r>
      <w:r>
        <w:t>(Right-click → Update Field to populate)</w:t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sec_typography"/>
      <w:r>
        <w:t>1  Typography &amp; Inline Formatting</w:t>
      </w:r>
      <w:bookmarkEnd w:id="1"/>
    </w:p>
    <w:p>
      <w:pPr>
        <w:pStyle w:val="Heading2"/>
      </w:pPr>
      <w:r>
        <w:t>1.1  Heading Level 2</w:t>
      </w:r>
    </w:p>
    <w:p>
      <w:pPr>
        <w:pStyle w:val="Heading3"/>
      </w:pPr>
      <w:r>
        <w:t>1.1.1  Heading Level 3</w:t>
      </w:r>
    </w:p>
    <w:p>
      <w:pPr>
        <w:pStyle w:val="Heading4"/>
      </w:pPr>
      <w:r>
        <w:t>1.1.1.1  Heading Level 4</w:t>
      </w:r>
    </w:p>
    <w:p>
      <w:r>
        <w:t xml:space="preserve">This paragraph demonstrates standard body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b/>
          <w:i/>
        </w:rPr>
        <w:t xml:space="preserve">Bold-italic text. </w:t>
      </w:r>
      <w:r>
        <w:rPr>
          <w:u w:val="single"/>
        </w:rPr>
        <w:t xml:space="preserve">Underlined text. </w:t>
      </w:r>
      <w:r>
        <w:rPr>
          <w:strike/>
        </w:rPr>
        <w:t xml:space="preserve">Strikethrough. </w:t>
      </w:r>
      <w:r>
        <w:rPr>
          <w:dstrike/>
        </w:rPr>
        <w:t xml:space="preserve">Double-strikethrough. </w:t>
      </w:r>
    </w:p>
    <w:p>
      <w:r>
        <w:rPr>
          <w:smallCaps/>
        </w:rPr>
        <w:t xml:space="preserve">Small-caps run. </w:t>
      </w:r>
      <w:r>
        <w:rPr>
          <w:caps/>
        </w:rPr>
        <w:t xml:space="preserve">All-caps run. </w:t>
      </w:r>
    </w:p>
    <w:p>
      <w:r>
        <w:t>Chemical formula: H</w:t>
      </w:r>
      <w:r>
        <w:rPr>
          <w:vertAlign w:val="subscript"/>
        </w:rPr>
        <w:t>2</w:t>
      </w:r>
      <w:r>
        <w:t>O  |  Footnote reference</w:t>
      </w:r>
      <w:r>
        <w:rPr>
          <w:vertAlign w:val="superscript"/>
        </w:rPr>
        <w:t>1</w:t>
      </w:r>
      <w:r>
        <w:t xml:space="preserve"> (see footnote).</w:t>
      </w:r>
      <w:r>
        <w:rPr>
          <w:rStyle w:val="FootnoteReference"/>
        </w:rPr>
        <w:footnoteReference w:id="1"/>
      </w:r>
    </w:p>
    <w:p>
      <w:r>
        <w:t xml:space="preserve">Colour palette: </w:t>
      </w:r>
      <w:r>
        <w:rPr>
          <w:b/>
          <w:color w:val="C00000"/>
        </w:rPr>
        <w:t xml:space="preserve">Red  </w:t>
      </w:r>
      <w:r>
        <w:rPr>
          <w:b/>
          <w:color w:val="007000"/>
        </w:rPr>
        <w:t xml:space="preserve">Green  </w:t>
      </w:r>
      <w:r>
        <w:rPr>
          <w:b/>
          <w:color w:val="0000FF"/>
        </w:rPr>
        <w:t xml:space="preserve">Blue  </w:t>
      </w:r>
      <w:r>
        <w:rPr>
          <w:b/>
          <w:color w:val="008080"/>
        </w:rPr>
        <w:t xml:space="preserve">Teal  </w:t>
      </w:r>
    </w:p>
    <w:p>
      <w:r>
        <w:t xml:space="preserve">Highlights: </w:t>
      </w:r>
      <w:r>
        <w:rPr>
          <w:highlight w:val="yellow"/>
        </w:rPr>
        <w:t xml:space="preserve">Yellow </w:t>
      </w:r>
      <w:r>
        <w:rPr>
          <w:highlight w:val="cyan"/>
        </w:rPr>
        <w:t xml:space="preserve">Cyan </w:t>
      </w:r>
      <w:r>
        <w:rPr>
          <w:highlight w:val="green"/>
        </w:rPr>
        <w:t xml:space="preserve">Green </w:t>
      </w:r>
      <w:r>
        <w:rPr>
          <w:highlight w:val="magenta"/>
        </w:rPr>
        <w:t xml:space="preserve">Magenta </w:t>
      </w:r>
      <w:r>
        <w:rPr>
          <w:highlight w:val="darkRed"/>
        </w:rPr>
        <w:t xml:space="preserve">DarkRed </w:t>
      </w:r>
    </w:p>
    <w:p>
      <w:r>
        <w:t xml:space="preserve">Font sizes: </w:t>
      </w:r>
      <w:r>
        <w:rPr>
          <w:sz w:val="16"/>
        </w:rPr>
        <w:t xml:space="preserve">8pt </w:t>
      </w:r>
      <w:r>
        <w:rPr>
          <w:sz w:val="18"/>
        </w:rPr>
        <w:t xml:space="preserve">9pt </w:t>
      </w:r>
      <w:r>
        <w:rPr>
          <w:sz w:val="20"/>
        </w:rPr>
        <w:t xml:space="preserve">10pt </w:t>
      </w:r>
      <w:r>
        <w:rPr>
          <w:sz w:val="22"/>
        </w:rPr>
        <w:t xml:space="preserve">11pt </w:t>
      </w:r>
      <w:r>
        <w:rPr>
          <w:sz w:val="24"/>
        </w:rPr>
        <w:t xml:space="preserve">12pt </w:t>
      </w:r>
      <w:r>
        <w:rPr>
          <w:sz w:val="28"/>
        </w:rPr>
        <w:t xml:space="preserve">14pt </w:t>
      </w:r>
      <w:r>
        <w:rPr>
          <w:sz w:val="32"/>
        </w:rPr>
        <w:t xml:space="preserve">16pt </w:t>
      </w:r>
      <w:r>
        <w:rPr>
          <w:sz w:val="36"/>
        </w:rPr>
        <w:t xml:space="preserve">18pt </w:t>
      </w:r>
      <w:r>
        <w:rPr>
          <w:sz w:val="48"/>
        </w:rPr>
        <w:t xml:space="preserve">24pt </w:t>
      </w:r>
    </w:p>
    <w:p>
      <w:r>
        <w:t xml:space="preserve">Typefaces: </w:t>
      </w:r>
      <w:r>
        <w:rPr>
          <w:rFonts w:ascii="Arial" w:hAnsi="Arial"/>
        </w:rPr>
        <w:t xml:space="preserve">Arial  </w:t>
      </w:r>
      <w:r>
        <w:rPr>
          <w:rFonts w:ascii="Times New Roman" w:hAnsi="Times New Roman"/>
        </w:rPr>
        <w:t xml:space="preserve">Times New Roman  </w:t>
      </w:r>
      <w:r>
        <w:rPr>
          <w:rFonts w:ascii="Courier New" w:hAnsi="Courier New"/>
        </w:rPr>
        <w:t xml:space="preserve">Courier New  </w:t>
      </w:r>
      <w:r>
        <w:rPr>
          <w:rFonts w:ascii="Georgia" w:hAnsi="Georgia"/>
        </w:rPr>
        <w:t xml:space="preserve">Georgia  </w:t>
      </w:r>
      <w:r>
        <w:rPr>
          <w:rFonts w:ascii="Calibri" w:hAnsi="Calibri"/>
        </w:rPr>
        <w:t xml:space="preserve">Calibri  </w:t>
      </w:r>
    </w:p>
    <w:p>
      <w:pPr>
        <w:pStyle w:val="Heading2"/>
      </w:pPr>
      <w:r>
        <w:t>1.2  Line &amp; Paragraph Spacing</w:t>
      </w:r>
    </w:p>
    <w:p>
      <w:r>
        <w:t>Single line spacing — Lorem ipsum dolor sit amet, consectetur adipiscing elit, sed do eiusmod tempor.</w:t>
      </w:r>
    </w:p>
    <w:p>
      <w:pPr>
        <w:spacing w:line="360" w:lineRule="auto"/>
      </w:pPr>
      <w:r>
        <w:t>1.5 line spacing — Lorem ipsum dolor sit amet, consectetur adipiscing elit, sed do eiusmod tempor.</w:t>
      </w:r>
    </w:p>
    <w:p>
      <w:pPr>
        <w:spacing w:line="480" w:lineRule="auto"/>
      </w:pPr>
      <w:r>
        <w:t>Double line spacing — Lorem ipsum dolor sit amet, consectetur adipiscing elit, sed do eiusmod tempor.</w:t>
      </w:r>
    </w:p>
    <w:p>
      <w:pPr>
        <w:pStyle w:val="Heading2"/>
      </w:pPr>
      <w:r>
        <w:t>1.3  Paragraph Alignment</w:t>
      </w:r>
    </w:p>
    <w:p>
      <w:pPr>
        <w:jc w:val="left"/>
      </w:pPr>
      <w:r>
        <w:t>Left-aligned text.</w:t>
      </w:r>
    </w:p>
    <w:p>
      <w:pPr>
        <w:jc w:val="center"/>
      </w:pPr>
      <w:r>
        <w:t>Centre-aligned text.</w:t>
      </w:r>
    </w:p>
    <w:p>
      <w:pPr>
        <w:jc w:val="right"/>
      </w:pPr>
      <w:r>
        <w:t>Right-aligned text.</w:t>
      </w:r>
    </w:p>
    <w:p>
      <w:pPr>
        <w:jc w:val="both"/>
      </w:pPr>
      <w:r>
        <w:t>Justified text — Lorem ipsum dolor sit amet, consectetur adipiscing elit, sed do eiusmod tempor incididunt ut labore et dolore magna aliqua.</w:t>
      </w:r>
    </w:p>
    <w:p>
      <w:pPr>
        <w:pStyle w:val="Heading2"/>
      </w:pPr>
      <w:r>
        <w:t>1.4  Indentation &amp; Block Quote</w:t>
      </w:r>
    </w:p>
    <w:p>
      <w:pPr>
        <w:ind w:left="1440" w:hanging="720"/>
      </w:pPr>
      <w:r>
        <w:t>This paragraph has a left indent of 1 inch and first-line indent of −0.5 in (hanging indent).</w:t>
      </w:r>
    </w:p>
    <w:p>
      <w:pPr>
        <w:spacing w:before="120" w:after="120"/>
        <w:ind w:left="1080" w:right="1080"/>
      </w:pPr>
      <w:r>
        <w:rPr>
          <w:i/>
        </w:rPr>
        <w:t>"The greatest shortcoming of the human race is our inability to understand the exponential function."</w:t>
        <w:br/>
        <w:t>— Albert Bartlett</w:t>
      </w:r>
    </w:p>
    <w:p>
      <w:pPr>
        <w:pStyle w:val="Heading1"/>
      </w:pPr>
      <w:r>
        <w:t>2  Lists</w:t>
      </w:r>
    </w:p>
    <w:p>
      <w:pPr>
        <w:pStyle w:val="Heading2"/>
      </w:pPr>
      <w:r>
        <w:t>2.1  Unordered (Bullet) List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 with sub-items:</w:t>
      </w:r>
    </w:p>
    <w:p>
      <w:pPr>
        <w:pStyle w:val="ListBullet2"/>
      </w:pPr>
      <w:r>
        <w:t>Sub-item A</w:t>
      </w:r>
    </w:p>
    <w:p>
      <w:pPr>
        <w:pStyle w:val="ListBullet2"/>
      </w:pPr>
      <w:r>
        <w:t>Sub-item B</w:t>
      </w:r>
    </w:p>
    <w:p>
      <w:pPr>
        <w:pStyle w:val="ListBullet3"/>
      </w:pPr>
      <w:r>
        <w:t>Sub-sub-item i</w:t>
      </w:r>
    </w:p>
    <w:p>
      <w:pPr>
        <w:pStyle w:val="ListBullet3"/>
      </w:pPr>
      <w:r>
        <w:t>Sub-sub-item ii</w:t>
      </w:r>
    </w:p>
    <w:p>
      <w:pPr>
        <w:pStyle w:val="ListBullet"/>
      </w:pPr>
      <w:r>
        <w:t>Third bullet item</w:t>
      </w:r>
    </w:p>
    <w:p>
      <w:pPr>
        <w:pStyle w:val="Heading2"/>
      </w:pPr>
      <w:r>
        <w:t>2.2  Ordered (Numbered)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2"/>
      </w:pPr>
      <w:r>
        <w:t>Sub-numbered item a</w:t>
      </w:r>
    </w:p>
    <w:p>
      <w:pPr>
        <w:pStyle w:val="ListNumber2"/>
      </w:pPr>
      <w:r>
        <w:t>Sub-numbered item b</w:t>
      </w:r>
    </w:p>
    <w:p>
      <w:pPr>
        <w:pStyle w:val="ListNumber"/>
      </w:pPr>
      <w:r>
        <w:t>Third numbered item</w:t>
      </w:r>
    </w:p>
    <w:p>
      <w:pPr>
        <w:pStyle w:val="Heading2"/>
      </w:pPr>
      <w:r>
        <w:t>2.3  Definition-style List</w:t>
      </w:r>
    </w:p>
    <w:p>
      <w:pPr>
        <w:ind w:left="720"/>
      </w:pPr>
      <w:r>
        <w:rPr>
          <w:b/>
        </w:rPr>
        <w:t xml:space="preserve">Term 1:  </w:t>
      </w:r>
      <w:r>
        <w:t>Definition of term 1 — an explanation of what it means.</w:t>
      </w:r>
    </w:p>
    <w:p>
      <w:pPr>
        <w:ind w:left="720"/>
      </w:pPr>
      <w:r>
        <w:rPr>
          <w:b/>
        </w:rPr>
        <w:t xml:space="preserve">Term 2:  </w:t>
      </w:r>
      <w:r>
        <w:t>Definition of term 2 — another explanation.</w:t>
      </w:r>
    </w:p>
    <w:p>
      <w:pPr>
        <w:pStyle w:val="Heading1"/>
      </w:pPr>
      <w:r>
        <w:t>3  Tables</w:t>
      </w:r>
    </w:p>
    <w:p>
      <w:pPr>
        <w:pStyle w:val="Heading2"/>
      </w:pPr>
      <w:r>
        <w:t>3.1  Basic Table with Header 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Capital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Population (M)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GDP (USD tn)</w:t>
            </w:r>
          </w:p>
        </w:tc>
      </w:tr>
      <w:tr>
        <w:tc>
          <w:tcPr>
            <w:tcW w:type="dxa" w:w="2340"/>
          </w:tcPr>
          <w:p>
            <w:r>
              <w:t>Germany</w:t>
            </w:r>
          </w:p>
        </w:tc>
        <w:tc>
          <w:tcPr>
            <w:tcW w:type="dxa" w:w="2340"/>
          </w:tcPr>
          <w:p>
            <w:r>
              <w:t>Berlin</w:t>
            </w:r>
          </w:p>
        </w:tc>
        <w:tc>
          <w:tcPr>
            <w:tcW w:type="dxa" w:w="2340"/>
          </w:tcPr>
          <w:p>
            <w:r>
              <w:t>83.2</w:t>
            </w:r>
          </w:p>
        </w:tc>
        <w:tc>
          <w:tcPr>
            <w:tcW w:type="dxa" w:w="2340"/>
          </w:tcPr>
          <w:p>
            <w:r>
              <w:t>4.1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t>France</w:t>
            </w:r>
          </w:p>
        </w:tc>
        <w:tc>
          <w:tcPr>
            <w:tcW w:type="dxa" w:w="2340"/>
            <w:shd w:val="clear" w:color="auto" w:fill="DCE6F1"/>
          </w:tcPr>
          <w:p>
            <w:r>
              <w:t>Paris</w:t>
            </w:r>
          </w:p>
        </w:tc>
        <w:tc>
          <w:tcPr>
            <w:tcW w:type="dxa" w:w="2340"/>
            <w:shd w:val="clear" w:color="auto" w:fill="DCE6F1"/>
          </w:tcPr>
          <w:p>
            <w:r>
              <w:t>67.4</w:t>
            </w:r>
          </w:p>
        </w:tc>
        <w:tc>
          <w:tcPr>
            <w:tcW w:type="dxa" w:w="2340"/>
            <w:shd w:val="clear" w:color="auto" w:fill="DCE6F1"/>
          </w:tcPr>
          <w:p>
            <w:r>
              <w:t>2.9</w:t>
            </w:r>
          </w:p>
        </w:tc>
      </w:tr>
      <w:tr>
        <w:tc>
          <w:tcPr>
            <w:tcW w:type="dxa" w:w="2340"/>
          </w:tcPr>
          <w:p>
            <w:r>
              <w:t>United Kingdom</w:t>
            </w:r>
          </w:p>
        </w:tc>
        <w:tc>
          <w:tcPr>
            <w:tcW w:type="dxa" w:w="2340"/>
          </w:tcPr>
          <w:p>
            <w:r>
              <w:t>London</w:t>
            </w:r>
          </w:p>
        </w:tc>
        <w:tc>
          <w:tcPr>
            <w:tcW w:type="dxa" w:w="2340"/>
          </w:tcPr>
          <w:p>
            <w:r>
              <w:t>67.2</w:t>
            </w:r>
          </w:p>
        </w:tc>
        <w:tc>
          <w:tcPr>
            <w:tcW w:type="dxa" w:w="2340"/>
          </w:tcPr>
          <w:p>
            <w:r>
              <w:t>3.1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r>
              <w:t>Spain</w:t>
            </w:r>
          </w:p>
        </w:tc>
        <w:tc>
          <w:tcPr>
            <w:tcW w:type="dxa" w:w="2340"/>
            <w:shd w:val="clear" w:color="auto" w:fill="DCE6F1"/>
          </w:tcPr>
          <w:p>
            <w:r>
              <w:t>Madrid</w:t>
            </w:r>
          </w:p>
        </w:tc>
        <w:tc>
          <w:tcPr>
            <w:tcW w:type="dxa" w:w="2340"/>
            <w:shd w:val="clear" w:color="auto" w:fill="DCE6F1"/>
          </w:tcPr>
          <w:p>
            <w:r>
              <w:t>47.4</w:t>
            </w:r>
          </w:p>
        </w:tc>
        <w:tc>
          <w:tcPr>
            <w:tcW w:type="dxa" w:w="2340"/>
            <w:shd w:val="clear" w:color="auto" w:fill="DCE6F1"/>
          </w:tcPr>
          <w:p>
            <w:r>
              <w:t>1.4</w:t>
            </w:r>
          </w:p>
        </w:tc>
      </w:tr>
    </w:tbl>
    <w:p/>
    <w:p>
      <w:pPr>
        <w:pStyle w:val="Heading2"/>
      </w:pPr>
      <w:r>
        <w:t>3.2  Table with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Merged Header spanning all three columns</w:t>
            </w:r>
          </w:p>
        </w:tc>
      </w:tr>
      <w:tr>
        <w:tc>
          <w:tcPr>
            <w:tcW w:type="dxa" w:w="3120"/>
            <w:vMerge w:val="restart"/>
            <w:vAlign w:val="center"/>
          </w:tcPr>
          <w:p>
            <w:r>
              <w:t>Row-merged cell</w:t>
            </w:r>
          </w:p>
        </w:tc>
        <w:tc>
          <w:tcPr>
            <w:tcW w:type="dxa" w:w="3120"/>
          </w:tcPr>
          <w:p>
            <w:r>
              <w:t>R1 C2</w:t>
            </w:r>
          </w:p>
        </w:tc>
        <w:tc>
          <w:tcPr>
            <w:tcW w:type="dxa" w:w="3120"/>
          </w:tcPr>
          <w:p>
            <w:r>
              <w:t>R1 C3</w:t>
            </w:r>
          </w:p>
        </w:tc>
      </w:tr>
      <w:tr>
        <w:tc>
          <w:tcPr>
            <w:tcW w:type="dxa" w:w="3120"/>
            <w:vMerge/>
          </w:tcPr>
          <w:p/>
        </w:tc>
        <w:tc>
          <w:tcPr>
            <w:tcW w:type="dxa" w:w="3120"/>
          </w:tcPr>
          <w:p>
            <w:r>
              <w:t>R2 C2</w:t>
            </w:r>
          </w:p>
        </w:tc>
        <w:tc>
          <w:tcPr>
            <w:tcW w:type="dxa" w:w="3120"/>
          </w:tcPr>
          <w:p>
            <w:r>
              <w:t>R2 C3</w:t>
            </w:r>
          </w:p>
        </w:tc>
      </w:tr>
    </w:tbl>
    <w:p/>
    <w:p>
      <w:pPr>
        <w:pStyle w:val="Heading1"/>
      </w:pPr>
      <w:r>
        <w:t>4  Code &amp; Pre-formatted Text</w:t>
      </w:r>
    </w:p>
    <w:p>
      <w:pPr>
        <w:pStyle w:val="Heading2"/>
      </w:pPr>
      <w:r>
        <w:t>4.1  Inline Code</w:t>
      </w:r>
    </w:p>
    <w:p>
      <w:r>
        <w:t xml:space="preserve">Use the function </w:t>
      </w:r>
      <w:r>
        <w:rPr>
          <w:rFonts w:ascii="Courier New" w:hAnsi="Courier New"/>
          <w:sz w:val="20"/>
        </w:rPr>
        <w:t>calculate_p_value(data, alpha=0.05)</w:t>
      </w:r>
      <w:r>
        <w:t xml:space="preserve"> to compute significance.</w:t>
      </w:r>
    </w:p>
    <w:p>
      <w:pPr>
        <w:pStyle w:val="Heading2"/>
      </w:pPr>
      <w:r>
        <w:t>4.2  Code Block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>def fibonacci(n: int) -&gt; int: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   """Return the nth Fibonacci number."""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   if n &lt;= 1: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       return n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   return fibonacci(n - 1) + fibonacci(n - 2)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># Example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>for i in range(10):</w:t>
      </w:r>
    </w:p>
    <w:p>
      <w:pPr>
        <w:spacing w:before="0" w:after="0"/>
        <w:ind w:left="720"/>
        <w:shd w:val="clear" w:color="auto" w:fill="F2F2F2"/>
      </w:pPr>
      <w:r>
        <w:rPr>
          <w:rFonts w:ascii="Courier New" w:hAnsi="Courier New"/>
          <w:sz w:val="18"/>
        </w:rPr>
        <w:t xml:space="preserve">    print(f'F({i}) = {fibonacci(i)}')</w:t>
      </w:r>
    </w:p>
    <w:p>
      <w:pPr>
        <w:pStyle w:val="Heading1"/>
      </w:pPr>
      <w:r>
        <w:t>5  Hyperlinks &amp; Cross-references</w:t>
      </w:r>
    </w:p>
    <w:p>
      <w:r>
        <w:t xml:space="preserve">External hyperlink: </w:t>
      </w:r>
      <w:hyperlink r:id="rId12">
        <w:r>
          <w:rPr>
            <w:rStyle w:val="Hyperlink"/>
          </w:rPr>
          <w:t>W3C WCAG 2.1 Guidelines</w:t>
        </w:r>
      </w:hyperlink>
      <w:r>
        <w:t>.</w:t>
      </w:r>
    </w:p>
    <w:p>
      <w:r>
        <w:t xml:space="preserve">Internal cross-reference: see section </w:t>
      </w:r>
      <w:r>
        <w:rPr/>
        <w:fldChar w:fldCharType="begin"/>
      </w:r>
      <w:r>
        <w:instrText xml:space="preserve"> REF sec_typography \h </w:instrText>
      </w:r>
      <w:r>
        <w:fldChar w:fldCharType="separate"/>
      </w:r>
      <w:r>
        <w:t>1  Typography &amp; Inline Formatting</w:t>
      </w:r>
      <w:r>
        <w:fldChar w:fldCharType="end"/>
      </w:r>
    </w:p>
    <w:p>
      <w:pPr>
        <w:pStyle w:val="Heading1"/>
      </w:pPr>
      <w:r>
        <w:t>6  Mathematical Equations</w:t>
      </w:r>
    </w:p>
    <w:p>
      <w:r>
        <w:t>The Pythagorean theorem expressed as an OMML equation:</w:t>
      </w:r>
    </w:p>
    <w:p>
      <m:oMathPara>
        <m:oMath>
          <m:r>
            <m:t>x</m:t>
          </m:r>
          <m:sSup>
            <m:sSupPr>
              <m:ctrlPr/>
            </m:sSupPr>
            <m:e>
              <m:r>
                <m:t>2</m:t>
              </m:r>
            </m:e>
            <m:sup>
              <m:r>
                <m:t> </m:t>
              </m:r>
            </m:sup>
          </m:sSup>
          <m:r>
            <m:t> + y</m:t>
          </m:r>
          <m:sSup>
            <m:sSupPr>
              <m:ctrlPr/>
            </m:sSupPr>
            <m:e>
              <m:r>
                <m:t>2</m:t>
              </m:r>
            </m:e>
            <m:sup>
              <m:r>
                <m:t> </m:t>
              </m:r>
            </m:sup>
          </m:sSup>
          <m:r>
            <m:t> = z</m:t>
          </m:r>
          <m:sSup>
            <m:sSupPr>
              <m:ctrlPr/>
            </m:sSupPr>
            <m:e>
              <m:r>
                <m:t>2</m:t>
              </m:r>
            </m:e>
            <m:sup>
              <m:r>
                <m:t> </m:t>
              </m:r>
            </m:sup>
          </m:sSup>
        </m:oMath>
      </m:oMathPara>
    </w:p>
    <w:p>
      <w:r>
        <w:t>Inline mathematical notation (plain text fallback): E = mc², where c ≈ 2.998 × 10⁸ m/s.</w:t>
      </w:r>
    </w:p>
    <w:p>
      <w:pPr>
        <w:pStyle w:val="Heading1"/>
      </w:pPr>
      <w:r>
        <w:t>7  Special Characters &amp; Symbols</w:t>
      </w:r>
    </w:p>
    <w:p>
      <w:r>
        <w:t>Typographic: ‘single quotes’  “double quotes”  – en-dash  — em-dash  … ellipsis  © ® ™  ¼ ½ ¾  ° µ ¶  † ‡  ← → ↔ ⇒  ∀ ∃ ∈ ∞ √ ∫</w:t>
      </w:r>
    </w:p>
    <w:p>
      <w:r>
        <w:t>Non-breaking space between words.</w:t>
      </w:r>
    </w:p>
    <w:p>
      <w:r>
        <w:t>Soft hyphen: dis­crimination (hyphen should only appear at line break).</w:t>
      </w:r>
    </w:p>
    <w:p>
      <w:pPr>
        <w:pStyle w:val="Heading1"/>
      </w:pPr>
      <w:r>
        <w:t>8  Figures &amp; Captions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Cornflower Blue – Figure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Medium Sea Green – Figure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Orange – Figure 3</w:t>
      </w:r>
    </w:p>
    <w:p>
      <w:pPr>
        <w:pStyle w:val="Heading1"/>
      </w:pPr>
      <w:r>
        <w:t>9  Section Dividers</w:t>
      </w:r>
    </w:p>
    <w:p>
      <w:r>
        <w:t>Paragraph before horizontal rule.</w:t>
      </w:r>
    </w:p>
    <w:p>
      <w:pPr>
        <w:pBdr>
          <w:bottom w:val="single" w:sz="6" w:space="1" w:color="auto"/>
        </w:pBdr>
      </w:pPr>
    </w:p>
    <w:p>
      <w:r>
        <w:t>Paragraph after horizontal rule.</w:t>
      </w:r>
    </w:p>
    <w:p>
      <w:r>
        <w:t>A hard page break follows:</w:t>
      </w:r>
      <w:r/>
    </w:p>
    <w:p>
      <w:r>
        <w:br w:type="page"/>
      </w:r>
    </w:p>
    <w:p>
      <w:pPr>
        <w:pStyle w:val="Heading1"/>
      </w:pPr>
      <w:r>
        <w:t>10  Multi-column Layout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Column text paragraph 1 — Lorem ipsum dolor sit amet, consectetur adipiscing elit, sed do eiusmod tempor incididunt ut labore et dolore magna aliqua. Ut enim ad minim veniam, quis nostrud exercitation ullamco laboris.</w:t>
      </w:r>
    </w:p>
    <w:p>
      <w:r>
        <w:t>Column text paragraph 2 — Lorem ipsum dolor sit amet, consectetur adipiscing elit, sed do eiusmod tempor incididunt ut labore et dolore magna aliqua. Ut enim ad minim veniam, quis nostrud exercitation ullamco laboris.</w:t>
      </w:r>
    </w:p>
    <w:p>
      <w:r>
        <w:t>Column text paragraph 3 — Lorem ipsum dolor sit amet, consectetur adipiscing elit, sed do eiusmod tempor incididunt ut labore et dolore magna aliqua. Ut enim ad minim veniam, quis nostrud exercitation ullamco laboris.</w:t>
      </w:r>
    </w:p>
    <w:p>
      <w:r>
        <w:t>Column text paragraph 4 — Lorem ipsum dolor sit amet, consectetur adipiscing elit, sed do eiusmod tempor incididunt ut labore et dolore magna aliqua. Ut enim ad minim veniam, quis nostrud exercitation ullamco laboris.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Heading1"/>
      </w:pPr>
      <w:r>
        <w:t>11  Built-in Styles Showcase</w:t>
      </w:r>
    </w:p>
    <w:p>
      <w:pPr>
        <w:pStyle w:val="Quote"/>
      </w:pPr>
      <w:r>
        <w:t>This paragraph uses the 'Quote' built-in style.</w:t>
      </w:r>
    </w:p>
    <w:p>
      <w:pPr>
        <w:pStyle w:val="IntenseQuote"/>
      </w:pPr>
      <w:r>
        <w:t>This paragraph uses the 'Intense Quote' built-in style.</w:t>
      </w:r>
    </w:p>
    <w:p>
      <w:pPr>
        <w:pStyle w:val="NoSpacing"/>
      </w:pPr>
      <w:r>
        <w:t>This paragraph uses the 'No Spacing' style with no extra spacing between lines.</w:t>
      </w:r>
    </w:p>
    <w:p>
      <w:pPr>
        <w:pStyle w:val="Heading1"/>
      </w:pPr>
      <w:r>
        <w:t>12  Track Changes &amp; Comments (markers)</w:t>
      </w:r>
    </w:p>
    <w:p>
      <w:commentRangeStart w:id="1"/>
      <w:r>
        <w:t>This paragraph contains text that would typically be subject to tracked changes review. In a full pipeline test, insertions and deletions should survive round-trips.</w:t>
      </w:r>
      <w:r>
        <w:commentReference w:id="1"/>
      </w:r>
      <w:commentRangeEnd w:id="1"/>
    </w:p>
    <w:p>
      <w:r>
        <w:t xml:space="preserve">Normal text followed by </w:t>
      </w:r>
      <w:ins w:id="10" w:author="Pipeline Tester" w:date="2026-05-20T00:00:00Z">
        <w:r>
          <w:t>inserted text (tracked)</w:t>
        </w:r>
      </w:ins>
      <w:r>
        <w:t xml:space="preserve"> and more normal text.</w:t>
      </w:r>
    </w:p>
    <w:p>
      <w:r>
        <w:t xml:space="preserve">Normal text followed by </w:t>
      </w:r>
      <w:del w:id="11" w:author="Pipeline Tester" w:date="2026-05-20T00:00:00Z">
        <w:r>
          <w:delText xml:space="preserve">deleted text (tracked)</w:delText>
        </w:r>
      </w:del>
      <w:r>
        <w:t xml:space="preserve"> and continuation.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footnote 1 — water is H₂O, the most abundant compound on Earth.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DOCX Pipeline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hyperlink" Target="https://www.w3.org/TR/WCAG21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Multi-Format Pipeline Test Document</dc:title>
  <dc:subject>Publishing pipeline validation</dc:subject>
  <dc:creator>Automated Generator</dc:creator>
  <cp:keywords>docx; pipeline; pandoc; publishing;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