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r>
        <w:t xml:space="preserve"> </w:t>
      </w:r>
      <w:r>
        <w:t xml:space="preserve">-</w:t>
      </w:r>
      <w:r>
        <w:t xml:space="preserve"> </w:t>
      </w:r>
      <w:r>
        <w:t xml:space="preserve">‘</w:t>
      </w:r>
      <w:r>
        <w:t xml:space="preserve">Making</w:t>
      </w:r>
      <w:r>
        <w:t xml:space="preserve"> </w:t>
      </w:r>
      <w:r>
        <w:t xml:space="preserve">Climate</w:t>
      </w:r>
      <w:r>
        <w:t xml:space="preserve"> </w:t>
      </w:r>
      <w:r>
        <w:t xml:space="preserve">Readers</w:t>
      </w:r>
      <w:r>
        <w:t xml:space="preserv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about-the-prototype"/>
    <w:p>
      <w:pPr>
        <w:pStyle w:val="Heading1"/>
      </w:pPr>
      <w:r>
        <w:t xml:space="preserve">1. About the prototype</w:t>
      </w:r>
    </w:p>
    <w:p>
      <w:pPr>
        <w:pStyle w:val="FirstParagraph"/>
      </w:pPr>
      <w:r>
        <w:t xml:space="preserve">The prototype is a tool for creating</w:t>
      </w:r>
      <w:r>
        <w:t xml:space="preserve"> </w:t>
      </w:r>
      <w:r>
        <w:t xml:space="preserve">‘</w:t>
      </w:r>
      <w:r>
        <w:t xml:space="preserve">Readers</w:t>
      </w:r>
      <w:r>
        <w:t xml:space="preserve">’</w:t>
      </w:r>
      <w:r>
        <w:t xml:space="preserve"> </w:t>
      </w:r>
      <w:r>
        <w:t xml:space="preserve">made from collated content from IPCC reports. Users can search IPCC Reports, select the content relevant to their questions and create a reader to share with others.</w:t>
      </w:r>
    </w:p>
    <w:p>
      <w:pPr>
        <w:pStyle w:val="BodyText"/>
      </w:pPr>
      <w:r>
        <w:t xml:space="preserve">The prototype shows answers from IPCC Reports to five FAQ questions asked about City Climate Plans - outputted as a multi-format Reader - DOCX, PDF, E-Book, and as sources - all referenced to the orginal content.</w:t>
      </w:r>
    </w:p>
    <w:p>
      <w:pPr>
        <w:pStyle w:val="BodyText"/>
      </w:pPr>
      <w:r>
        <w:t xml:space="preserve">Use case: Climate plan authors need to find IPCC Report recommendations, sections, visualisations, and external references and use these in their own city climate plans as well as to distribute the content to their community for the purpose of making them democratically — understandable, accountable, and transparent.</w:t>
      </w:r>
    </w:p>
    <w:p>
      <w:pPr>
        <w:pStyle w:val="BodyText"/>
      </w:pPr>
      <w:hyperlink r:id="rId20">
        <w:r>
          <w:rPr>
            <w:rStyle w:val="Hyperlink"/>
          </w:rPr>
          <w:t xml:space="preserve">Read about</w:t>
        </w:r>
      </w:hyperlink>
      <w:r>
        <w:t xml:space="preserve"> </w:t>
      </w:r>
      <w:r>
        <w:t xml:space="preserve">the next steps, workflows, and technologies.</w:t>
      </w:r>
    </w:p>
    <w:p>
      <w:pPr>
        <w:numPr>
          <w:ilvl w:val="0"/>
          <w:numId w:val="1001"/>
        </w:numPr>
        <w:pStyle w:val="Compact"/>
      </w:pPr>
      <w:r>
        <w:t xml:space="preserve">Next prototype #2: Automate Reader creation</w:t>
      </w:r>
    </w:p>
    <w:p>
      <w:pPr>
        <w:numPr>
          <w:ilvl w:val="0"/>
          <w:numId w:val="1001"/>
        </w:numPr>
        <w:pStyle w:val="Compact"/>
      </w:pPr>
      <w:r>
        <w:t xml:space="preserve">Next prototype #3: AI assisted authoring</w:t>
      </w:r>
    </w:p>
    <w:p>
      <w:pPr>
        <w:pStyle w:val="FirstParagraph"/>
      </w:pPr>
      <w:r>
        <w:t xml:space="preserve">semanticClimate is looking for support for the protoytpe rounds - contact semanticClimate on the</w:t>
      </w:r>
      <w:r>
        <w:t xml:space="preserve"> </w:t>
      </w:r>
      <w:hyperlink r:id="rId21">
        <w:r>
          <w:rPr>
            <w:rStyle w:val="Hyperlink"/>
          </w:rPr>
          <w:t xml:space="preserve">GitHub discussion thread</w:t>
        </w:r>
      </w:hyperlink>
      <w:r>
        <w:t xml:space="preserve">.</w:t>
      </w:r>
    </w:p>
    <w:p>
      <w:pPr>
        <w:pStyle w:val="BodyText"/>
      </w:pPr>
      <w:r>
        <w:t xml:space="preserve">The prototype was made during the semanticClimate hackathon held at the FORCE11 Scholarly Communications Institute (FSCI) - 2023 Summer School - July 31 - August 4 2023.</w:t>
      </w:r>
    </w:p>
    <w:bookmarkStart w:id="23" w:name="prototype-questions"/>
    <w:p>
      <w:pPr>
        <w:pStyle w:val="Heading3"/>
      </w:pPr>
      <w:r>
        <w:t xml:space="preserve">1.0.1 Prototype questions</w:t>
      </w:r>
    </w:p>
    <w:p>
      <w:pPr>
        <w:pStyle w:val="FirstParagraph"/>
      </w:pPr>
      <w:r>
        <w:t xml:space="preserve">Hackathon participants created five questions that are common to City Climate Plans.</w:t>
      </w:r>
    </w:p>
    <w:p>
      <w:pPr>
        <w:pStyle w:val="BodyText"/>
      </w:pPr>
      <w:r>
        <w:t xml:space="preserve">Ahead of technically automating the search the</w:t>
      </w:r>
      <w:r>
        <w:t xml:space="preserve"> </w:t>
      </w:r>
      <w:r>
        <w:rPr>
          <w:bCs/>
          <w:b/>
        </w:rPr>
        <w:t xml:space="preserve">mock-up prototype Reader</w:t>
      </w:r>
      <w:r>
        <w:t xml:space="preserve"> </w:t>
      </w:r>
      <w:r>
        <w:t xml:space="preserve">shows the types of examples search results that could be collates.</w:t>
      </w:r>
    </w:p>
    <w:bookmarkStart w:id="22" w:name="questions"/>
    <w:p>
      <w:pPr>
        <w:pStyle w:val="Heading4"/>
      </w:pPr>
      <w:r>
        <w:t xml:space="preserve">1.0.1.1 Questions</w:t>
      </w:r>
    </w:p>
    <w:p>
      <w:pPr>
        <w:numPr>
          <w:ilvl w:val="0"/>
          <w:numId w:val="1002"/>
        </w:numPr>
        <w:pStyle w:val="Compact"/>
      </w:pPr>
      <w:r>
        <w:t xml:space="preserve">Q1. What measures can be taken by urban centers to mitigate and cut down on their emissions?</w:t>
      </w:r>
    </w:p>
    <w:p>
      <w:pPr>
        <w:numPr>
          <w:ilvl w:val="0"/>
          <w:numId w:val="1002"/>
        </w:numPr>
        <w:pStyle w:val="Compact"/>
      </w:pPr>
      <w:r>
        <w:t xml:space="preserve">Q2. What role do renewable energy sources play in city climate plans?</w:t>
      </w:r>
    </w:p>
    <w:p>
      <w:pPr>
        <w:numPr>
          <w:ilvl w:val="0"/>
          <w:numId w:val="1002"/>
        </w:numPr>
        <w:pStyle w:val="Compact"/>
      </w:pPr>
      <w:r>
        <w:t xml:space="preserve">Q3. How can cities promote sustainable transportation options in their climate action plans?</w:t>
      </w:r>
    </w:p>
    <w:p>
      <w:pPr>
        <w:numPr>
          <w:ilvl w:val="0"/>
          <w:numId w:val="1002"/>
        </w:numPr>
        <w:pStyle w:val="Compact"/>
      </w:pPr>
      <w:r>
        <w:t xml:space="preserve">Q4. What strategies do cities employ to adapt to the impacts of climate change?</w:t>
      </w:r>
    </w:p>
    <w:p>
      <w:pPr>
        <w:numPr>
          <w:ilvl w:val="0"/>
          <w:numId w:val="1002"/>
        </w:numPr>
        <w:pStyle w:val="Compact"/>
      </w:pPr>
      <w:r>
        <w:t xml:space="preserve">Q5. What are some successful examples of cities implementing effective climate action plans?</w:t>
      </w:r>
    </w:p>
    <w:bookmarkEnd w:id="22"/>
    <w:bookmarkEnd w:id="23"/>
    <w:bookmarkStart w:id="24" w:name="background"/>
    <w:p>
      <w:pPr>
        <w:pStyle w:val="Heading3"/>
      </w:pPr>
      <w:r>
        <w:t xml:space="preserve">1.0.2 Background</w:t>
      </w:r>
    </w:p>
    <w:p>
      <w:pPr>
        <w:pStyle w:val="FirstParagraph"/>
      </w:pPr>
      <w:r>
        <w:t xml:space="preserve">The IPCC Reports are the source for the most important scientific knowledge on climate change.</w:t>
      </w:r>
    </w:p>
    <w:p>
      <w:pPr>
        <w:pStyle w:val="BodyText"/>
      </w:pPr>
      <w:r>
        <w:t xml:space="preserve">City climate plans are important tools to help mitigate the impacts of climate change.</w:t>
      </w:r>
    </w:p>
    <w:p>
      <w:pPr>
        <w:pStyle w:val="BodyText"/>
      </w:pPr>
      <w:r>
        <w:t xml:space="preserve">Currently IPCC reports are not supported by search services that allow for granular indexing. The semanticClimate research project uses Linked Open Data (LOD) and Wikidata / Wikibase technologies to enable better visibility for the IPCC Report contents.</w:t>
      </w:r>
    </w:p>
    <w:bookmarkEnd w:id="24"/>
    <w:bookmarkStart w:id="25" w:name="links"/>
    <w:p>
      <w:pPr>
        <w:pStyle w:val="Heading3"/>
      </w:pPr>
      <w:r>
        <w:t xml:space="preserve">1.0.3 Links</w:t>
      </w:r>
    </w:p>
    <w:p>
      <w:pPr>
        <w:numPr>
          <w:ilvl w:val="0"/>
          <w:numId w:val="1003"/>
        </w:numPr>
        <w:pStyle w:val="Compact"/>
      </w:pPr>
      <w:r>
        <w:t xml:space="preserve">semanticClimate project</w:t>
      </w:r>
    </w:p>
    <w:p>
      <w:pPr>
        <w:numPr>
          <w:ilvl w:val="0"/>
          <w:numId w:val="1003"/>
        </w:numPr>
        <w:pStyle w:val="Compact"/>
      </w:pPr>
      <w:r>
        <w:t xml:space="preserve">About the hackathon</w:t>
      </w:r>
    </w:p>
    <w:p>
      <w:pPr>
        <w:numPr>
          <w:ilvl w:val="0"/>
          <w:numId w:val="1003"/>
        </w:numPr>
        <w:pStyle w:val="Compact"/>
      </w:pPr>
      <w:r>
        <w:t xml:space="preserve">More about the City Climate Plan Prototype</w:t>
      </w:r>
    </w:p>
    <w:p>
      <w:pPr>
        <w:numPr>
          <w:ilvl w:val="0"/>
          <w:numId w:val="1003"/>
        </w:numPr>
        <w:pStyle w:val="Compact"/>
      </w:pPr>
      <w:r>
        <w:t xml:space="preserve">FSCI Summer School 2023</w:t>
      </w:r>
    </w:p>
    <w:bookmarkEnd w:id="25"/>
    <w:bookmarkStart w:id="27" w:name="credits"/>
    <w:p>
      <w:pPr>
        <w:pStyle w:val="Heading3"/>
      </w:pPr>
      <w:r>
        <w:t xml:space="preserve">1.0.4 Credits</w:t>
      </w:r>
    </w:p>
    <w:p>
      <w:pPr>
        <w:numPr>
          <w:ilvl w:val="0"/>
          <w:numId w:val="1004"/>
        </w:numPr>
        <w:pStyle w:val="Compact"/>
      </w:pPr>
      <w:r>
        <w:t xml:space="preserve">See</w:t>
      </w:r>
      <w:r>
        <w:t xml:space="preserve"> </w:t>
      </w:r>
      <w:hyperlink r:id="rId26">
        <w:r>
          <w:rPr>
            <w:rStyle w:val="Hyperlink"/>
          </w:rPr>
          <w:t xml:space="preserve">README.md</w:t>
        </w:r>
      </w:hyperlink>
    </w:p>
    <w:bookmarkEnd w:id="27"/>
    <w:bookmarkEnd w:id="28"/>
    <w:bookmarkStart w:id="36" w:name="q1.-mitigation-cutting-emmisions"/>
    <w:p>
      <w:pPr>
        <w:pStyle w:val="Heading1"/>
      </w:pPr>
      <w:r>
        <w:t xml:space="preserve">2. Q1. Mitigation &amp; Cutting Emmisions?</w:t>
      </w:r>
    </w:p>
    <w:bookmarkStart w:id="29" w:name="X775c75caf1570f7151769d37e370281e9cbc289"/>
    <w:p>
      <w:pPr>
        <w:pStyle w:val="Heading2"/>
      </w:pPr>
      <w:r>
        <w:t xml:space="preserve">2.1 Question: What measures can be taken by urban centers to mitigate and cut down on their emissions?</w:t>
      </w:r>
    </w:p>
    <w:bookmarkEnd w:id="29"/>
    <w:bookmarkStart w:id="31"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31"/>
    <w:bookmarkStart w:id="35" w:name="content"/>
    <w:p>
      <w:pPr>
        <w:pStyle w:val="Heading2"/>
      </w:pPr>
      <w:r>
        <w:t xml:space="preserve">2.3 Content:</w:t>
      </w:r>
    </w:p>
    <w:bookmarkStart w:id="33" w:name="X99d6b89d6f8f161fc7131ede0636fac28dd5e9b"/>
    <w:p>
      <w:pPr>
        <w:pStyle w:val="Heading3"/>
      </w:pPr>
      <w:r>
        <w:t xml:space="preserve">2.3.1 Chapter 08 : Urban Systems and Other Settlements</w:t>
      </w:r>
    </w:p>
    <w:bookmarkStart w:id="32"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32"/>
    <w:bookmarkEnd w:id="33"/>
    <w:bookmarkStart w:id="34"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34"/>
    <w:bookmarkEnd w:id="35"/>
    <w:bookmarkEnd w:id="36"/>
    <w:bookmarkStart w:id="41" w:name="q2.-renewable-energy"/>
    <w:p>
      <w:pPr>
        <w:pStyle w:val="Heading1"/>
      </w:pPr>
      <w:r>
        <w:t xml:space="preserve">3. Q2. Renewable energy?</w:t>
      </w:r>
    </w:p>
    <w:bookmarkStart w:id="37" w:name="X7961030c37fc6999db9d5dfb4e16d49e1a3570b"/>
    <w:p>
      <w:pPr>
        <w:pStyle w:val="Heading2"/>
      </w:pPr>
      <w:r>
        <w:t xml:space="preserve">3.1 Question: What role do renewable energy sources play in city climate plans?</w:t>
      </w:r>
    </w:p>
    <w:bookmarkEnd w:id="37"/>
    <w:bookmarkStart w:id="38"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8"/>
    <w:bookmarkStart w:id="40" w:name="content-1"/>
    <w:p>
      <w:pPr>
        <w:pStyle w:val="Heading2"/>
      </w:pPr>
      <w:r>
        <w:t xml:space="preserve">3.3 Content:</w:t>
      </w:r>
    </w:p>
    <w:bookmarkStart w:id="39"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5"/>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5"/>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5"/>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5"/>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9"/>
    <w:bookmarkEnd w:id="40"/>
    <w:bookmarkEnd w:id="41"/>
    <w:bookmarkStart w:id="49" w:name="q3.-sustainable-transport-options"/>
    <w:p>
      <w:pPr>
        <w:pStyle w:val="Heading1"/>
      </w:pPr>
      <w:r>
        <w:t xml:space="preserve">4. Q3. Sustainable Transport Options?</w:t>
      </w:r>
    </w:p>
    <w:bookmarkStart w:id="42" w:name="X4b56dd1f24c441e238ecb1d53b9a53e6faa4f79"/>
    <w:p>
      <w:pPr>
        <w:pStyle w:val="Heading2"/>
      </w:pPr>
      <w:r>
        <w:t xml:space="preserve">4.1 Question: How can cities promote sustainable transportation options in their climate action plans?</w:t>
      </w:r>
    </w:p>
    <w:bookmarkEnd w:id="42"/>
    <w:bookmarkStart w:id="43"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43"/>
    <w:bookmarkStart w:id="48" w:name="content-2"/>
    <w:p>
      <w:pPr>
        <w:pStyle w:val="Heading2"/>
      </w:pPr>
      <w:r>
        <w:t xml:space="preserve">4.3 Content:</w:t>
      </w:r>
    </w:p>
    <w:bookmarkStart w:id="47"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45" name="Picture"/>
                  <a:graphic>
                    <a:graphicData uri="http://schemas.openxmlformats.org/drawingml/2006/picture">
                      <pic:pic>
                        <pic:nvPicPr>
                          <pic:cNvPr descr="./images/Fig-10.19.PNG" id="46" name="Picture"/>
                          <pic:cNvPicPr>
                            <a:picLocks noChangeArrowheads="1" noChangeAspect="1"/>
                          </pic:cNvPicPr>
                        </pic:nvPicPr>
                        <pic:blipFill>
                          <a:blip r:embed="rId44"/>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47"/>
    <w:bookmarkEnd w:id="48"/>
    <w:bookmarkEnd w:id="49"/>
    <w:bookmarkStart w:id="55" w:name="q4.-adapting-to-impacts"/>
    <w:p>
      <w:pPr>
        <w:pStyle w:val="Heading1"/>
      </w:pPr>
      <w:r>
        <w:t xml:space="preserve">5. Q4. Adapting to Impacts?</w:t>
      </w:r>
    </w:p>
    <w:bookmarkStart w:id="50" w:name="X44dedeabd0abbc11843d75a742eb36d84c458b9"/>
    <w:p>
      <w:pPr>
        <w:pStyle w:val="Heading2"/>
      </w:pPr>
      <w:r>
        <w:t xml:space="preserve">5.1 Question: What strategies do cities employ to adapt to the impacts of climate change?</w:t>
      </w:r>
    </w:p>
    <w:bookmarkEnd w:id="50"/>
    <w:bookmarkStart w:id="52"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51">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52"/>
    <w:bookmarkStart w:id="54" w:name="content-3"/>
    <w:p>
      <w:pPr>
        <w:pStyle w:val="Heading2"/>
      </w:pPr>
      <w:r>
        <w:t xml:space="preserve">5.3 Content:</w:t>
      </w:r>
    </w:p>
    <w:bookmarkStart w:id="53"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53"/>
    <w:bookmarkEnd w:id="54"/>
    <w:bookmarkEnd w:id="55"/>
    <w:bookmarkStart w:id="61" w:name="q5.-successful-example-plans"/>
    <w:p>
      <w:pPr>
        <w:pStyle w:val="Heading1"/>
      </w:pPr>
      <w:r>
        <w:t xml:space="preserve">6. Q5. Successful example plans?</w:t>
      </w:r>
    </w:p>
    <w:bookmarkStart w:id="56" w:name="Xf3ba014ed2051c1e3a10b7f6dfcd08a8105889e"/>
    <w:p>
      <w:pPr>
        <w:pStyle w:val="Heading2"/>
      </w:pPr>
      <w:r>
        <w:t xml:space="preserve">6.1 Question: What are some successful examples of cities implementing effective climate action plans?</w:t>
      </w:r>
    </w:p>
    <w:bookmarkEnd w:id="56"/>
    <w:bookmarkStart w:id="57" w:name="Xd1bdae2f4e0a14867ac60405972efaa6e9854ac"/>
    <w:p>
      <w:pPr>
        <w:pStyle w:val="Heading2"/>
      </w:pPr>
      <w:r>
        <w:t xml:space="preserve">6.2 Query result: Box 8.3: Coordination of Fragmented Policymaking for Low-carbon Urban Development: Example from Shanghai, China (Page 913)</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57"/>
    <w:bookmarkStart w:id="60" w:name="content-4"/>
    <w:p>
      <w:pPr>
        <w:pStyle w:val="Heading2"/>
      </w:pPr>
      <w:r>
        <w:t xml:space="preserve">6.3 Content:</w:t>
      </w:r>
    </w:p>
    <w:bookmarkStart w:id="59" w:name="X5adf23e5eef5697d553528b7c9284e88bea2ac2"/>
    <w:p>
      <w:pPr>
        <w:pStyle w:val="Heading3"/>
      </w:pPr>
      <w:r>
        <w:t xml:space="preserve">6.3.1 Chapter 08 : Urban Systems and Other Settlements</w:t>
      </w:r>
    </w:p>
    <w:bookmarkStart w:id="58" w:name="X3bac8e714be63532f3c418836bd10fbdb5f437b"/>
    <w:p>
      <w:pPr>
        <w:pStyle w:val="Heading4"/>
      </w:pPr>
      <w:r>
        <w:t xml:space="preserve">6.3.1.1 Box 8.3: Coordination of Fragmented Policymaking for Low-carbon Urban Development: Example from Shanghai, China</w:t>
      </w:r>
    </w:p>
    <w:p>
      <w:pPr>
        <w:pStyle w:val="FirstParagraph"/>
      </w:pPr>
      <w:r>
        <w:t xml:space="preserve">As a growing megacity in the Global South, Shanghai represents the challenge of becoming low carbon despite its economic growth</w:t>
      </w:r>
      <w:r>
        <w:t xml:space="preserve"> </w:t>
      </w:r>
      <w:r>
        <w:t xml:space="preserve">and population size (Chen et al. 2017). Shanghai was designated as one of the pilot low-carbon cities by the central government.</w:t>
      </w:r>
      <w:r>
        <w:t xml:space="preserve"> </w:t>
      </w:r>
      <w:r>
        <w:t xml:space="preserve">The city utilised a coordination mechanism for joining fragmented policymaking across the city’s economy, energy, and environment.</w:t>
      </w:r>
      <w:r>
        <w:t xml:space="preserve"> </w:t>
      </w:r>
      <w:r>
        <w:t xml:space="preserve">The coordination mechanism was supported by a direct fund that enabled implementation of cross-sector policies beyond a singlesector</w:t>
      </w:r>
      <w:r>
        <w:t xml:space="preserve"> </w:t>
      </w:r>
      <w:r>
        <w:t xml:space="preserve">focus across multiple institutions while increasing capacity for enabling a low-carbon transition for urban sustainability</w:t>
      </w:r>
      <w:r>
        <w:t xml:space="preserve"> </w:t>
      </w:r>
      <w:r>
        <w:t xml:space="preserve">(Peng and Bai 2020).</w:t>
      </w:r>
    </w:p>
    <w:p>
      <w:pPr>
        <w:pStyle w:val="BodyText"/>
      </w:pPr>
      <w:r>
        <w:rPr>
          <w:bCs/>
          <w:b/>
        </w:rPr>
        <w:t xml:space="preserve">Implementation and governance process</w:t>
      </w:r>
    </w:p>
    <w:p>
      <w:pPr>
        <w:pStyle w:val="BodyText"/>
      </w:pPr>
      <w:r>
        <w:t xml:space="preserve">In Shanghai, coordination between the central and local governments had an instrumental role for encouraging low-carbon policy</w:t>
      </w:r>
      <w:r>
        <w:t xml:space="preserve"> </w:t>
      </w:r>
      <w:r>
        <w:t xml:space="preserve">experimentation. Using a nested governance framework, the central government provided target setting and performance evaluation</w:t>
      </w:r>
      <w:r>
        <w:t xml:space="preserve"> </w:t>
      </w:r>
      <w:r>
        <w:t xml:space="preserve">while the local government initiated pilot projects for low-carbon development. The policy practices in Shanghai surpassed the topdown</w:t>
      </w:r>
      <w:r>
        <w:t xml:space="preserve"> </w:t>
      </w:r>
      <w:r>
        <w:t xml:space="preserve">targets and annual reporting of GHG emissions, including carbon labelling standards at the local level, pilot programme for</w:t>
      </w:r>
      <w:r>
        <w:t xml:space="preserve"> </w:t>
      </w:r>
      <w:r>
        <w:t xml:space="preserve">transitioning sub-urban areas, and the engagement of public utilities (Peng and Bai 2018).</w:t>
      </w:r>
    </w:p>
    <w:p>
      <w:pPr>
        <w:pStyle w:val="BodyText"/>
      </w:pPr>
      <w:r>
        <w:rPr>
          <w:bCs/>
          <w:b/>
        </w:rPr>
        <w:t xml:space="preserve">Towards low-carbon urban development</w:t>
      </w:r>
    </w:p>
    <w:p>
      <w:pPr>
        <w:pStyle w:val="BodyText"/>
      </w:pPr>
      <w:r>
        <w:t xml:space="preserve">New policy measures in Shanghai were built upon a series of related policies from earlier, ranging from general energy saving</w:t>
      </w:r>
      <w:r>
        <w:t xml:space="preserve"> </w:t>
      </w:r>
      <w:r>
        <w:t xml:space="preserve">measures to air pollution reduction. This provided a continuum of policy learning for implementing low-carbon policy measures.</w:t>
      </w:r>
      <w:r>
        <w:t xml:space="preserve"> </w:t>
      </w:r>
      <w:r>
        <w:t xml:space="preserve">An earlier policy was a green electricity scheme based on the Jade Electricity Program while the need for greater public awareness was</w:t>
      </w:r>
      <w:r>
        <w:t xml:space="preserve"> </w:t>
      </w:r>
      <w:r>
        <w:t xml:space="preserve">one aspect requiring further attention in policy design (Baeumler et al. 2012), supporting policy-learning for policies later on. The key</w:t>
      </w:r>
      <w:r>
        <w:t xml:space="preserve"> </w:t>
      </w:r>
      <w:r>
        <w:t xml:space="preserve">point here is that low-carbon policies were built on and learned from earlier policies with similar goals.</w:t>
      </w:r>
    </w:p>
    <w:p>
      <w:pPr>
        <w:pStyle w:val="BodyText"/>
      </w:pPr>
      <w:r>
        <w:rPr>
          <w:bCs/>
          <w:b/>
        </w:rPr>
        <w:t xml:space="preserve">Outcomes and impacts of the policy mix</w:t>
      </w:r>
    </w:p>
    <w:p>
      <w:pPr>
        <w:pStyle w:val="BodyText"/>
      </w:pPr>
      <w:r>
        <w:t xml:space="preserve">Trends during 1998 and 2015 indicate that energy intensity decreased from about 130 tonnes per million RMB to about 45 tonnes</w:t>
      </w:r>
      <w:r>
        <w:t xml:space="preserve"> </w:t>
      </w:r>
      <w:r>
        <w:t xml:space="preserve">per million RMB and carbon intensity decreased from about 0.35 Mt per billion RMB to 0.10 Mt per billion RMB (Peng and Bai 2018).</w:t>
      </w:r>
      <w:r>
        <w:t xml:space="preserve"> </w:t>
      </w:r>
      <w:r>
        <w:t xml:space="preserve">These impacts on energy and carbon intensities represent progress, while challenges remain. Among the challenges are the need</w:t>
      </w:r>
      <w:r>
        <w:t xml:space="preserve"> </w:t>
      </w:r>
      <w:r>
        <w:t xml:space="preserve">for investment in low-carbon technology and increases in urban carbon sinks (Yang and Li 2018) while cross-sector interaction and</w:t>
      </w:r>
      <w:r>
        <w:t xml:space="preserve"> </w:t>
      </w:r>
      <w:r>
        <w:t xml:space="preserve">complexity are increasing.</w:t>
      </w:r>
    </w:p>
    <w:bookmarkEnd w:id="58"/>
    <w:bookmarkEnd w:id="59"/>
    <w:bookmarkEnd w:id="60"/>
    <w:bookmarkEnd w:id="61"/>
    <w:bookmarkStart w:id="62" w:name="prototype-nextsteps-workflows"/>
    <w:p>
      <w:pPr>
        <w:pStyle w:val="Heading1"/>
      </w:pPr>
      <w:r>
        <w:t xml:space="preserve">7. Prototype Nextsteps &amp; Workflows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 - ‘Making Climate Readers’</dc:title>
  <dc:creator>FSCI Hackathon Team</dc:creator>
  <cp:keywords/>
  <dcterms:created xsi:type="dcterms:W3CDTF">2023-08-31T09:49:06Z</dcterms:created>
  <dcterms:modified xsi:type="dcterms:W3CDTF">2023-08-31T09:49:06Z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