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bookmarkEnd w:id="20"/>
    <w:bookmarkStart w:id="28" w:name="mitigation-cutting-emmisions"/>
    <w:p>
      <w:pPr>
        <w:pStyle w:val="Heading1"/>
      </w:pPr>
      <w:r>
        <w:t xml:space="preserve">2. Mitigation &amp; Cutting Emmisions?</w:t>
      </w:r>
    </w:p>
    <w:bookmarkStart w:id="21" w:name="X775c75caf1570f7151769d37e370281e9cbc289"/>
    <w:p>
      <w:pPr>
        <w:pStyle w:val="Heading2"/>
      </w:pPr>
      <w:r>
        <w:t xml:space="preserve">2.1 Question: What measures can be taken by urban centers to mitigate and cut down on their emissions?</w:t>
      </w:r>
    </w:p>
    <w:bookmarkEnd w:id="21"/>
    <w:bookmarkStart w:id="23" w:name="X49385771c7d7bfdf8da8bb835b34fa1c0c9074d"/>
    <w:p>
      <w:pPr>
        <w:pStyle w:val="Heading2"/>
      </w:pPr>
      <w:r>
        <w:t xml:space="preserve">2.2 Query result: Climate Change 2022: Mitigation of Climate Change. Chapter 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23"/>
    <w:bookmarkStart w:id="27" w:name="content"/>
    <w:p>
      <w:pPr>
        <w:pStyle w:val="Heading2"/>
      </w:pPr>
      <w:r>
        <w:t xml:space="preserve">2.3 Content:</w:t>
      </w:r>
    </w:p>
    <w:bookmarkStart w:id="25" w:name="X99d6b89d6f8f161fc7131ede0636fac28dd5e9b"/>
    <w:p>
      <w:pPr>
        <w:pStyle w:val="Heading3"/>
      </w:pPr>
      <w:r>
        <w:t xml:space="preserve">2.3.1 Chapter 08 : Urban Systems and Other Settlements</w:t>
      </w:r>
    </w:p>
    <w:bookmarkStart w:id="24"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24"/>
    <w:bookmarkEnd w:id="25"/>
    <w:bookmarkStart w:id="26"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26"/>
    <w:bookmarkEnd w:id="27"/>
    <w:bookmarkEnd w:id="28"/>
    <w:bookmarkStart w:id="33" w:name="renewable-energy"/>
    <w:p>
      <w:pPr>
        <w:pStyle w:val="Heading1"/>
      </w:pPr>
      <w:r>
        <w:t xml:space="preserve">3. Renewable energy?</w:t>
      </w:r>
    </w:p>
    <w:bookmarkStart w:id="29" w:name="X7961030c37fc6999db9d5dfb4e16d49e1a3570b"/>
    <w:p>
      <w:pPr>
        <w:pStyle w:val="Heading2"/>
      </w:pPr>
      <w:r>
        <w:t xml:space="preserve">3.1 Question: What role do renewable energy sources play in city climate plans?</w:t>
      </w:r>
    </w:p>
    <w:bookmarkEnd w:id="29"/>
    <w:bookmarkStart w:id="30"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0"/>
    <w:bookmarkStart w:id="32" w:name="content-1"/>
    <w:p>
      <w:pPr>
        <w:pStyle w:val="Heading2"/>
      </w:pPr>
      <w:r>
        <w:t xml:space="preserve">3.3 Content:</w:t>
      </w:r>
    </w:p>
    <w:bookmarkStart w:id="31"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1"/>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1"/>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1"/>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1"/>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1"/>
    <w:bookmarkEnd w:id="32"/>
    <w:bookmarkEnd w:id="33"/>
    <w:bookmarkStart w:id="41" w:name="sustainable-transport-options"/>
    <w:p>
      <w:pPr>
        <w:pStyle w:val="Heading1"/>
      </w:pPr>
      <w:r>
        <w:t xml:space="preserve">4. Sustainable Transport Options?</w:t>
      </w:r>
    </w:p>
    <w:bookmarkStart w:id="34" w:name="X4b56dd1f24c441e238ecb1d53b9a53e6faa4f79"/>
    <w:p>
      <w:pPr>
        <w:pStyle w:val="Heading2"/>
      </w:pPr>
      <w:r>
        <w:t xml:space="preserve">4.1 Question: How can cities promote sustainable transportation options in their climate action plans?</w:t>
      </w:r>
    </w:p>
    <w:bookmarkEnd w:id="34"/>
    <w:bookmarkStart w:id="35" w:name="X7f351fb14f3122d36d9567c2c597c4c0bedde87"/>
    <w:p>
      <w:pPr>
        <w:pStyle w:val="Heading2"/>
      </w:pPr>
      <w:r>
        <w:t xml:space="preserve">4.2 Query result: 10.7.4 Transport Modes Trajectories (Page 1104-1106)</w:t>
      </w:r>
    </w:p>
    <w:p>
      <w:pPr>
        <w:pStyle w:val="FirstParagraph"/>
      </w:pPr>
      <w:r>
        <w:t xml:space="preserve">Chapter 10 Transport.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Cite: Jaramillo, P., S. Kahn Ribeiro, P. Newman, S. Dhar, O.E. Diemuodeke, T. Kajino, D.S. Lee, S.B. Nugroho, X. Ou, A. Hammer Strømman, J. Whitehead, 2022: Transport.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10.1017/9781009157926.012</w:t>
      </w:r>
    </w:p>
    <w:p>
      <w:r>
        <w:pict>
          <v:rect style="width:0;height:1.5pt" o:hralign="center" o:hrstd="t" o:hr="t"/>
        </w:pict>
      </w:r>
    </w:p>
    <w:bookmarkEnd w:id="35"/>
    <w:bookmarkStart w:id="40" w:name="content-2"/>
    <w:p>
      <w:pPr>
        <w:pStyle w:val="Heading2"/>
      </w:pPr>
      <w:r>
        <w:t xml:space="preserve">4.3 Content:</w:t>
      </w:r>
    </w:p>
    <w:bookmarkStart w:id="39" w:name="transport-modes-trajectories"/>
    <w:p>
      <w:pPr>
        <w:pStyle w:val="Heading3"/>
      </w:pPr>
      <w:r>
        <w:t xml:space="preserve">4.3.1 10.7.4 Transport Modes Trajectories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798603"/>
                  <wp:effectExtent b="0" l="0" r="0" t="0"/>
                  <wp:docPr descr="" title="Figure 10.19 | Transport activity trajectories for passenger and freight across different modes. 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 id="37" name="Picture"/>
                  <a:graphic>
                    <a:graphicData uri="http://schemas.openxmlformats.org/drawingml/2006/picture">
                      <pic:pic>
                        <pic:nvPicPr>
                          <pic:cNvPr descr="./images/Fig-10.19.PNG" id="38" name="Picture"/>
                          <pic:cNvPicPr>
                            <a:picLocks noChangeArrowheads="1" noChangeAspect="1"/>
                          </pic:cNvPicPr>
                        </pic:nvPicPr>
                        <pic:blipFill>
                          <a:blip r:embed="rId36"/>
                          <a:stretch>
                            <a:fillRect/>
                          </a:stretch>
                        </pic:blipFill>
                        <pic:spPr bwMode="auto">
                          <a:xfrm>
                            <a:off x="0" y="0"/>
                            <a:ext cx="5334000" cy="5798603"/>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10.19 | Transport activity trajectories for passenger and freight across different modes.</w:t>
            </w:r>
            <w:r>
              <w:t xml:space="preserve"> </w:t>
            </w:r>
            <w:r>
              <w:t xml:space="preserve">Global passenger (billion pkm per year) and freight (billion tkm per year) demand projections relative to a modelled year 2020 index. Results for IAM are for selected stabilisation temperatures by 2100. Also included are global transport models Reference and Policy scenarios. Data from the AR6 scenario database. Trajectories span the 5th to 95th percentiles across models, with a solid line indicating the median value across models.</w:t>
            </w:r>
          </w:p>
        </w:tc>
      </w:tr>
    </w:tbl>
    <w:p>
      <w:pPr>
        <w:pStyle w:val="BodyText"/>
      </w:pPr>
      <w:r>
        <w:t xml:space="preserve">Globally over the last century, shares of faster transport modes have</w:t>
      </w:r>
      <w:r>
        <w:t xml:space="preserve"> </w:t>
      </w:r>
      <w:r>
        <w:t xml:space="preserve">generally increased with increasing passenger travel demand (Schäfer</w:t>
      </w:r>
      <w:r>
        <w:t xml:space="preserve"> </w:t>
      </w:r>
      <w:r>
        <w:t xml:space="preserve">2017; Schafer and Victor 2000). For short- to medium-distance travel,</w:t>
      </w:r>
      <w:r>
        <w:t xml:space="preserve"> </w:t>
      </w:r>
      <w:r>
        <w:t xml:space="preserve">private cars have displaced public transit, particularly in OECD</w:t>
      </w:r>
      <w:r>
        <w:t xml:space="preserve"> </w:t>
      </w:r>
      <w:r>
        <w:t xml:space="preserve">countries, due to a variety of factors, including faster travel times in</w:t>
      </w:r>
      <w:r>
        <w:t xml:space="preserve"> </w:t>
      </w:r>
      <w:r>
        <w:t xml:space="preserve">many circumstances (Liao et al. 2020); consumers increasingly valuing</w:t>
      </w:r>
      <w:r>
        <w:t xml:space="preserve"> </w:t>
      </w:r>
      <w:r>
        <w:t xml:space="preserve">time and convenience with GDP growth; and broader transport</w:t>
      </w:r>
      <w:r>
        <w:t xml:space="preserve"> </w:t>
      </w:r>
      <w:r>
        <w:t xml:space="preserve">policies, such as provision of road versus public transit infrastructure</w:t>
      </w:r>
      <w:r>
        <w:t xml:space="preserve"> </w:t>
      </w:r>
      <w:r>
        <w:t xml:space="preserve">(Mattioli et al. 2020). For long-distance travel, travel via aviation for</w:t>
      </w:r>
      <w:r>
        <w:t xml:space="preserve"> </w:t>
      </w:r>
      <w:r>
        <w:t xml:space="preserve">leisure and business has increased (Lee et al. 2021). These trends do</w:t>
      </w:r>
      <w:r>
        <w:t xml:space="preserve"> </w:t>
      </w:r>
      <w:r>
        <w:t xml:space="preserve">not hold in all countries and cities, as many now have rail transit</w:t>
      </w:r>
      <w:r>
        <w:t xml:space="preserve"> </w:t>
      </w:r>
      <w:r>
        <w:t xml:space="preserve">that is faster than driving (Newman et al. 2015). For instance,</w:t>
      </w:r>
      <w:r>
        <w:t xml:space="preserve"> </w:t>
      </w:r>
      <w:r>
        <w:t xml:space="preserve">public transport demand rose from 1990 through to 2016 in France,</w:t>
      </w:r>
      <w:r>
        <w:t xml:space="preserve"> </w:t>
      </w:r>
      <w:r>
        <w:t xml:space="preserve">Denmark, and Finland (eurostat 2019). In general, smaller and denser</w:t>
      </w:r>
      <w:r>
        <w:t xml:space="preserve"> </w:t>
      </w:r>
      <w:r>
        <w:t xml:space="preserve">countries and cities with higher or increasing urbanisation rates tend</w:t>
      </w:r>
      <w:r>
        <w:t xml:space="preserve"> </w:t>
      </w:r>
      <w:r>
        <w:t xml:space="preserve">to have greater success in increasing public transport share. However,</w:t>
      </w:r>
      <w:r>
        <w:t xml:space="preserve"> </w:t>
      </w:r>
      <w:r>
        <w:t xml:space="preserve">other factors, like privatisation of public transit (Bayliss and Mattioli</w:t>
      </w:r>
      <w:r>
        <w:t xml:space="preserve"> </w:t>
      </w:r>
      <w:r>
        <w:t xml:space="preserve">2018) and urban form (ITF 2021), also play a role. Different transport</w:t>
      </w:r>
      <w:r>
        <w:t xml:space="preserve"> </w:t>
      </w:r>
      <w:r>
        <w:t xml:space="preserve">modes can provide passenger and freight services, affecting the</w:t>
      </w:r>
      <w:r>
        <w:t xml:space="preserve"> </w:t>
      </w:r>
      <w:r>
        <w:t xml:space="preserve">emissions trajectories for the sector.</w:t>
      </w:r>
    </w:p>
    <w:p>
      <w:pPr>
        <w:pStyle w:val="BodyText"/>
      </w:pPr>
      <w:r>
        <w:t xml:space="preserve">Figure 10.19 shows activity trajectories for freight and passenger</w:t>
      </w:r>
      <w:r>
        <w:t xml:space="preserve"> </w:t>
      </w:r>
      <w:r>
        <w:t xml:space="preserve">transport through 2100 relative to a modelled year 2020 across</w:t>
      </w:r>
      <w:r>
        <w:t xml:space="preserve"> </w:t>
      </w:r>
      <w:r>
        <w:t xml:space="preserve">different modes, based on the AR6 database for IAMs and global</w:t>
      </w:r>
      <w:r>
        <w:t xml:space="preserve"> </w:t>
      </w:r>
      <w:r>
        <w:t xml:space="preserve">transport models. Globally, climate scenarios from IAMs, and policy</w:t>
      </w:r>
      <w:r>
        <w:t xml:space="preserve"> </w:t>
      </w:r>
      <w:r>
        <w:t xml:space="preserve">and reference scenarios from global transport models, indicate</w:t>
      </w:r>
      <w:r>
        <w:t xml:space="preserve"> </w:t>
      </w:r>
      <w:r>
        <w:t xml:space="preserve">increasing demand for freight and passenger transport via most modes</w:t>
      </w:r>
      <w:r>
        <w:t xml:space="preserve"> </w:t>
      </w:r>
      <w:r>
        <w:t xml:space="preserve">through 2100 (Yeh et al. 2017; Mulholland et al. 2018; Zhang et al.</w:t>
      </w:r>
      <w:r>
        <w:t xml:space="preserve"> </w:t>
      </w:r>
      <w:r>
        <w:t xml:space="preserve">2018; Khalili et al. 2019). Road passenger transport exhibits a similar</w:t>
      </w:r>
      <w:r>
        <w:t xml:space="preserve"> </w:t>
      </w:r>
      <w:r>
        <w:t xml:space="preserve">increase (roughly tripling) through 2100 across scenarios. For road passenger transport, scenarios that limit or return warming</w:t>
      </w:r>
      <w:r>
        <w:t xml:space="preserve"> </w:t>
      </w:r>
      <w:r>
        <w:t xml:space="preserve">to 1.5°C during the 21st century (C1–C2) have a smaller increase</w:t>
      </w:r>
      <w:r>
        <w:t xml:space="preserve"> </w:t>
      </w:r>
      <w:r>
        <w:t xml:space="preserve">from modelled 2020 levels (median increase of 2.4 times modelled</w:t>
      </w:r>
      <w:r>
        <w:t xml:space="preserve"> </w:t>
      </w:r>
      <w:r>
        <w:t xml:space="preserve">2020 levels) than do scenarios with higher warming levels (C3–C8)</w:t>
      </w:r>
      <w:r>
        <w:t xml:space="preserve"> </w:t>
      </w:r>
      <w:r>
        <w:t xml:space="preserve">(median increase of 2.7–2.8 times modelled 2020 levels). There are</w:t>
      </w:r>
      <w:r>
        <w:t xml:space="preserve"> </w:t>
      </w:r>
      <w:r>
        <w:t xml:space="preserve">similar patterns for passenger road transport via light-duty vehicle,</w:t>
      </w:r>
      <w:r>
        <w:t xml:space="preserve"> </w:t>
      </w:r>
      <w:r>
        <w:t xml:space="preserve">for which median increases from modelled 2020 levels are smaller</w:t>
      </w:r>
      <w:r>
        <w:t xml:space="preserve"> </w:t>
      </w:r>
      <w:r>
        <w:t xml:space="preserve">for C1–C2 (3 times larger) than for C3–C5 (3.1 times larger) or C6–C7</w:t>
      </w:r>
      <w:r>
        <w:t xml:space="preserve"> </w:t>
      </w:r>
      <w:r>
        <w:t xml:space="preserve">(3.2 times larger). Passenger transport via aviation exhibits a 2.2</w:t>
      </w:r>
      <w:r>
        <w:t xml:space="preserve"> </w:t>
      </w:r>
      <w:r>
        <w:t xml:space="preserve">times median increase relative to modelled 2020 levels under C1–C2</w:t>
      </w:r>
      <w:r>
        <w:t xml:space="preserve"> </w:t>
      </w:r>
      <w:r>
        <w:t xml:space="preserve">and C3–C5 scenarios but exhibits a 6.2 times increase under C6–C8.</w:t>
      </w:r>
      <w:r>
        <w:t xml:space="preserve"> </w:t>
      </w:r>
      <w:r>
        <w:t xml:space="preserve">The only passenger travel mode that exhibits a decline in its median</w:t>
      </w:r>
      <w:r>
        <w:t xml:space="preserve"> </w:t>
      </w:r>
      <w:r>
        <w:t xml:space="preserve">value through 2100 according to IAMs is walking/bicycling, in C3–</w:t>
      </w:r>
      <w:r>
        <w:t xml:space="preserve"> </w:t>
      </w:r>
      <w:r>
        <w:t xml:space="preserve">C5 and C6–C8 scenarios. However, in C1–C2 scenarios, walking/</w:t>
      </w:r>
      <w:r>
        <w:t xml:space="preserve"> </w:t>
      </w:r>
      <w:r>
        <w:t xml:space="preserve">bicycling increases by 1.4 times relative to modelled 2020 levels.</w:t>
      </w:r>
      <w:r>
        <w:t xml:space="preserve"> </w:t>
      </w:r>
      <w:r>
        <w:t xml:space="preserve">At the 5th percentile of IAM solutions (lower edge of bands in</w:t>
      </w:r>
      <w:r>
        <w:t xml:space="preserve"> </w:t>
      </w:r>
      <w:r>
        <w:t xml:space="preserve">Figure 10.19), buses and walking/bicycling for passenger travel both</w:t>
      </w:r>
      <w:r>
        <w:t xml:space="preserve"> </w:t>
      </w:r>
      <w:r>
        <w:t xml:space="preserve">exhibit significant declines.</w:t>
      </w:r>
    </w:p>
    <w:p>
      <w:pPr>
        <w:pStyle w:val="BodyText"/>
      </w:pPr>
      <w:r>
        <w:t xml:space="preserve">For freight, Figure 10.19 shows that the largest growth occurs in</w:t>
      </w:r>
      <w:r>
        <w:t xml:space="preserve"> </w:t>
      </w:r>
      <w:r>
        <w:t xml:space="preserve">transport via road (Mulholland et al. 2018). By 2100, global transport</w:t>
      </w:r>
      <w:r>
        <w:t xml:space="preserve"> </w:t>
      </w:r>
      <w:r>
        <w:t xml:space="preserve">models suggest a roughly four-fold increase in median-heavy-duty</w:t>
      </w:r>
      <w:r>
        <w:t xml:space="preserve"> </w:t>
      </w:r>
      <w:r>
        <w:t xml:space="preserve">trucking levels relative to modelled 2020 levels, while IAMs suggest</w:t>
      </w:r>
      <w:r>
        <w:t xml:space="preserve"> </w:t>
      </w:r>
      <w:r>
        <w:t xml:space="preserve">a two- to four-fold increase in freight transport by road by 2100.</w:t>
      </w:r>
      <w:r>
        <w:t xml:space="preserve"> </w:t>
      </w:r>
      <w:r>
        <w:t xml:space="preserve">Notably, the 95th percentile of IAM solutions see road transport</w:t>
      </w:r>
      <w:r>
        <w:t xml:space="preserve"> </w:t>
      </w:r>
      <w:r>
        <w:t xml:space="preserve">by up to 4.7 times through 2100 relative to modelled 2020 levels,</w:t>
      </w:r>
      <w:r>
        <w:t xml:space="preserve"> </w:t>
      </w:r>
      <w:r>
        <w:t xml:space="preserve">regardless of warming level. Other freight transport modes – aviation,</w:t>
      </w:r>
      <w:r>
        <w:t xml:space="preserve"> </w:t>
      </w:r>
      <w:r>
        <w:t xml:space="preserve">international shipping, navigation, and railways – exhibit less growth</w:t>
      </w:r>
      <w:r>
        <w:t xml:space="preserve"> </w:t>
      </w:r>
      <w:r>
        <w:t xml:space="preserve">than road transport. In scenarios that limit or return warming to</w:t>
      </w:r>
      <w:r>
        <w:t xml:space="preserve"> </w:t>
      </w:r>
      <w:r>
        <w:t xml:space="preserve">1.5°C (&gt;50%) during the 21st century (C1–C2), navigation and</w:t>
      </w:r>
      <w:r>
        <w:t xml:space="preserve"> </w:t>
      </w:r>
      <w:r>
        <w:t xml:space="preserve">rail transport remain largely unchanged and international shipping</w:t>
      </w:r>
      <w:r>
        <w:t xml:space="preserve"> </w:t>
      </w:r>
      <w:r>
        <w:t xml:space="preserve">roughly doubles by 2100. Scenarios with higher warming (i.e., moving</w:t>
      </w:r>
      <w:r>
        <w:t xml:space="preserve"> </w:t>
      </w:r>
      <w:r>
        <w:t xml:space="preserve">from C1–C2 to C6–C8) generally lead to more freight by rail and less</w:t>
      </w:r>
      <w:r>
        <w:t xml:space="preserve"> </w:t>
      </w:r>
      <w:r>
        <w:t xml:space="preserve">freight by international shipping.</w:t>
      </w:r>
    </w:p>
    <w:p>
      <w:pPr>
        <w:pStyle w:val="BodyText"/>
      </w:pPr>
      <w:r>
        <w:t xml:space="preserve">Relative to global trajectories, upper-income regions – including</w:t>
      </w:r>
      <w:r>
        <w:t xml:space="preserve"> </w:t>
      </w:r>
      <w:r>
        <w:t xml:space="preserve">North America, Europe, and the Pacific OECD – generally see less</w:t>
      </w:r>
      <w:r>
        <w:t xml:space="preserve"> </w:t>
      </w:r>
      <w:r>
        <w:t xml:space="preserve">growth in passenger road via light-duty vehicle and passenger</w:t>
      </w:r>
      <w:r>
        <w:t xml:space="preserve"> </w:t>
      </w:r>
      <w:r>
        <w:t xml:space="preserve">aviation, given more saturated demand for both. Other regions like</w:t>
      </w:r>
      <w:r>
        <w:t xml:space="preserve"> </w:t>
      </w:r>
      <w:r>
        <w:t xml:space="preserve">China exhibit similar modal trends as the global average, whereas</w:t>
      </w:r>
      <w:r>
        <w:t xml:space="preserve"> </w:t>
      </w:r>
      <w:r>
        <w:t xml:space="preserve">regions such as the African continent and Indian subcontinent exhibit</w:t>
      </w:r>
      <w:r>
        <w:t xml:space="preserve"> </w:t>
      </w:r>
      <w:r>
        <w:t xml:space="preserve">significantly larger shifts, proportionally, in modal transport than the</w:t>
      </w:r>
      <w:r>
        <w:t xml:space="preserve"> </w:t>
      </w:r>
      <w:r>
        <w:t xml:space="preserve">globe. In particular, the African continent represents the starkest</w:t>
      </w:r>
      <w:r>
        <w:t xml:space="preserve"> </w:t>
      </w:r>
      <w:r>
        <w:t xml:space="preserve">departure from global results. Freight and passenger transport modes</w:t>
      </w:r>
      <w:r>
        <w:t xml:space="preserve"> </w:t>
      </w:r>
      <w:r>
        <w:t xml:space="preserve">exhibit significantly greater growth across Africa than globally in all</w:t>
      </w:r>
      <w:r>
        <w:t xml:space="preserve"> </w:t>
      </w:r>
      <w:r>
        <w:t xml:space="preserve">available scenarios. Across Africa, median freight and passenger</w:t>
      </w:r>
      <w:r>
        <w:t xml:space="preserve"> </w:t>
      </w:r>
      <w:r>
        <w:t xml:space="preserve">transport via road from IAMs increases by 5 to 16 times and 4 to</w:t>
      </w:r>
      <w:r>
        <w:t xml:space="preserve"> </w:t>
      </w:r>
      <w:r>
        <w:t xml:space="preserve">28 times, respectively, across warming levels by 2100 relative</w:t>
      </w:r>
      <w:r>
        <w:t xml:space="preserve"> </w:t>
      </w:r>
      <w:r>
        <w:t xml:space="preserve">to modelled 2020 levels. Even C1 has considerable growth in Africa</w:t>
      </w:r>
      <w:r>
        <w:t xml:space="preserve"> </w:t>
      </w:r>
      <w:r>
        <w:t xml:space="preserve">via both modes (3 to 16 times increase for freight and 4 to 29 times</w:t>
      </w:r>
      <w:r>
        <w:t xml:space="preserve"> </w:t>
      </w:r>
      <w:r>
        <w:t xml:space="preserve">increase for passenger travel at 5th and 95th percentiles of IAM</w:t>
      </w:r>
      <w:r>
        <w:t xml:space="preserve"> </w:t>
      </w:r>
      <w:r>
        <w:t xml:space="preserve">solutions by 2100).</w:t>
      </w:r>
    </w:p>
    <w:p>
      <w:pPr>
        <w:pStyle w:val="BodyText"/>
      </w:pPr>
      <w:r>
        <w:t xml:space="preserve">As noted in Section 10.2, commonly explored mitigation options</w:t>
      </w:r>
      <w:r>
        <w:t xml:space="preserve"> </w:t>
      </w:r>
      <w:r>
        <w:t xml:space="preserve">related to mode change include a shift to public transit, shared</w:t>
      </w:r>
      <w:r>
        <w:t xml:space="preserve"> </w:t>
      </w:r>
      <w:r>
        <w:t xml:space="preserve">mobility, and demand reductions through various means, including</w:t>
      </w:r>
      <w:r>
        <w:t xml:space="preserve"> </w:t>
      </w:r>
      <w:r>
        <w:t xml:space="preserve">improved urban form, teleconferences that replace passenger travel (Creutzig et al. 2018; Grubler et al. 2018; Wilson et al. 2019),</w:t>
      </w:r>
      <w:r>
        <w:t xml:space="preserve"> </w:t>
      </w:r>
      <w:r>
        <w:t xml:space="preserve">improved logistics efficiency, green logistics, and streamlined supply</w:t>
      </w:r>
      <w:r>
        <w:t xml:space="preserve"> </w:t>
      </w:r>
      <w:r>
        <w:t xml:space="preserve">chains for the freight sector (Mulholland et al. 2018). NDCs often</w:t>
      </w:r>
      <w:r>
        <w:t xml:space="preserve"> </w:t>
      </w:r>
      <w:r>
        <w:t xml:space="preserve">prioritise options like bus improvements and enhanced mobility that</w:t>
      </w:r>
      <w:r>
        <w:t xml:space="preserve"> </w:t>
      </w:r>
      <w:r>
        <w:t xml:space="preserve">yield pollution, congestion, and urban development co-benefits,</w:t>
      </w:r>
      <w:r>
        <w:t xml:space="preserve"> </w:t>
      </w:r>
      <w:r>
        <w:t xml:space="preserve">especially in medium- and lower-income countries (Fulton et al.</w:t>
      </w:r>
      <w:r>
        <w:t xml:space="preserve"> </w:t>
      </w:r>
      <w:r>
        <w:t xml:space="preserve">2017). Conversely, high-income countries, most of which have</w:t>
      </w:r>
      <w:r>
        <w:t xml:space="preserve"> </w:t>
      </w:r>
      <w:r>
        <w:t xml:space="preserve">saturated and entrenched private vehicle ownership, typically focus</w:t>
      </w:r>
      <w:r>
        <w:t xml:space="preserve"> </w:t>
      </w:r>
      <w:r>
        <w:t xml:space="preserve">more on technology options, such as electrification and fuel efficiency</w:t>
      </w:r>
      <w:r>
        <w:t xml:space="preserve"> </w:t>
      </w:r>
      <w:r>
        <w:t xml:space="preserve">standards (Gota et al. 2016). Available IAM and regional models are</w:t>
      </w:r>
      <w:r>
        <w:t xml:space="preserve"> </w:t>
      </w:r>
      <w:r>
        <w:t xml:space="preserve">limited in their ability to represent modal shift strategies. As a result,</w:t>
      </w:r>
      <w:r>
        <w:t xml:space="preserve"> </w:t>
      </w:r>
      <w:r>
        <w:t xml:space="preserve">mode shifts alone do not differentiate climate scenarios. While this</w:t>
      </w:r>
      <w:r>
        <w:t xml:space="preserve"> </w:t>
      </w:r>
      <w:r>
        <w:t xml:space="preserve">lack of representation is a limitation of the models, it is unlikely that</w:t>
      </w:r>
      <w:r>
        <w:t xml:space="preserve"> </w:t>
      </w:r>
      <w:r>
        <w:t xml:space="preserve">such interventions would completely negate the increases in demand</w:t>
      </w:r>
      <w:r>
        <w:t xml:space="preserve"> </w:t>
      </w:r>
      <w:r>
        <w:t xml:space="preserve">the models suggest. Therefore, transport via light-duty vehicle and</w:t>
      </w:r>
      <w:r>
        <w:t xml:space="preserve"> </w:t>
      </w:r>
      <w:r>
        <w:t xml:space="preserve">aviation, freight transport via road, and other modes will likely</w:t>
      </w:r>
      <w:r>
        <w:t xml:space="preserve"> </w:t>
      </w:r>
      <w:r>
        <w:t xml:space="preserve">continue to increase through to the end of the century. Consequently,</w:t>
      </w:r>
      <w:r>
        <w:t xml:space="preserve"> </w:t>
      </w:r>
      <w:r>
        <w:t xml:space="preserve">fuel and carbon efficiency and fuel energy and technology will</w:t>
      </w:r>
      <w:r>
        <w:t xml:space="preserve"> </w:t>
      </w:r>
      <w:r>
        <w:t xml:space="preserve">probably play crucial roles in differentiating climate scenarios, as</w:t>
      </w:r>
      <w:r>
        <w:t xml:space="preserve"> </w:t>
      </w:r>
      <w:r>
        <w:t xml:space="preserve">discussed in the following sub-sections.</w:t>
      </w:r>
    </w:p>
    <w:bookmarkEnd w:id="39"/>
    <w:bookmarkEnd w:id="40"/>
    <w:bookmarkEnd w:id="41"/>
    <w:bookmarkStart w:id="47" w:name="adapting-to-impacts"/>
    <w:p>
      <w:pPr>
        <w:pStyle w:val="Heading1"/>
      </w:pPr>
      <w:r>
        <w:t xml:space="preserve">5. Adapting to Impacts?</w:t>
      </w:r>
    </w:p>
    <w:bookmarkStart w:id="42" w:name="X44dedeabd0abbc11843d75a742eb36d84c458b9"/>
    <w:p>
      <w:pPr>
        <w:pStyle w:val="Heading2"/>
      </w:pPr>
      <w:r>
        <w:t xml:space="preserve">5.1 Question: What strategies do cities employ to adapt to the impacts of climate change?</w:t>
      </w:r>
    </w:p>
    <w:bookmarkEnd w:id="42"/>
    <w:bookmarkStart w:id="44" w:name="X832ca2010b1517daecde9144b744312d6e711aa"/>
    <w:p>
      <w:pPr>
        <w:pStyle w:val="Heading2"/>
      </w:pPr>
      <w:r>
        <w:t xml:space="preserve">5.2 Query result: 4.5.3. Cities, Settlements and Infrastructure (Page 105-106)</w:t>
      </w:r>
    </w:p>
    <w:p>
      <w:pPr>
        <w:pStyle w:val="FirstParagraph"/>
      </w:pPr>
      <w:r>
        <w:t xml:space="preserve">IPCC, 2023: Climate Change 2023: Synthesis Report. Section 4: Near-Term Responses in a Changing Climate &gt; 4.5 Near-Term Mitigation and Adaptation Actions &gt; 4.5.3 Cities, Settlements and Infrastructure</w:t>
      </w:r>
    </w:p>
    <w:p>
      <w:pPr>
        <w:pStyle w:val="BodyText"/>
      </w:pPr>
      <w:r>
        <w:t xml:space="preserve">URL:</w:t>
      </w:r>
      <w:r>
        <w:t xml:space="preserve"> </w:t>
      </w:r>
      <w:hyperlink r:id="rId43">
        <w:r>
          <w:rPr>
            <w:rStyle w:val="Hyperlink"/>
          </w:rPr>
          <w:t xml:space="preserve">https://www.ipcc.ch/report/ar6/syr/</w:t>
        </w:r>
      </w:hyperlink>
    </w:p>
    <w:p>
      <w:pPr>
        <w:pStyle w:val="BodyText"/>
      </w:pPr>
      <w:r>
        <w:rPr>
          <w:iCs/>
          <w:i/>
        </w:rPr>
        <w:t xml:space="preserve">Cite: IPCC, 2023: Climate Change 2023: Synthesis Report. Contribution of Working Groups I, II and III to the Sixth Assessment Report</w:t>
      </w:r>
      <w:r>
        <w:rPr>
          <w:iCs/>
          <w:i/>
        </w:rPr>
        <w:t xml:space="preserve"> </w:t>
      </w:r>
      <w:r>
        <w:rPr>
          <w:iCs/>
          <w:i/>
        </w:rPr>
        <w:t xml:space="preserve">of the Intergovernmental Panel on Climate Change [Core Writing Team, H. Lee and J. Romero (eds.)]. IPCC, Geneva, Switzerland,</w:t>
      </w:r>
      <w:r>
        <w:rPr>
          <w:iCs/>
          <w:i/>
        </w:rPr>
        <w:t xml:space="preserve"> </w:t>
      </w:r>
      <w:r>
        <w:rPr>
          <w:iCs/>
          <w:i/>
        </w:rPr>
        <w:t xml:space="preserve">184 pp., doi: 10.59327/IPCC/AR6-9789291691647.</w:t>
      </w:r>
    </w:p>
    <w:p>
      <w:r>
        <w:pict>
          <v:rect style="width:0;height:1.5pt" o:hralign="center" o:hrstd="t" o:hr="t"/>
        </w:pict>
      </w:r>
    </w:p>
    <w:bookmarkEnd w:id="44"/>
    <w:bookmarkStart w:id="46" w:name="content-3"/>
    <w:p>
      <w:pPr>
        <w:pStyle w:val="Heading2"/>
      </w:pPr>
      <w:r>
        <w:t xml:space="preserve">5.3 Content:</w:t>
      </w:r>
    </w:p>
    <w:bookmarkStart w:id="45" w:name="cities-settlements-and-infrastructure"/>
    <w:p>
      <w:pPr>
        <w:pStyle w:val="Heading3"/>
      </w:pPr>
      <w:r>
        <w:t xml:space="preserve">5.3.1 4.5.3. Cities, Settlements and Infrastructure</w:t>
      </w:r>
    </w:p>
    <w:p>
      <w:pPr>
        <w:pStyle w:val="FirstParagraph"/>
      </w:pPr>
      <w:r>
        <w:t xml:space="preserve">Urban systems are critical for achieving deep emissions</w:t>
      </w:r>
      <w:r>
        <w:t xml:space="preserve"> </w:t>
      </w:r>
      <w:r>
        <w:t xml:space="preserve">reductions and advancing climate resilient development,</w:t>
      </w:r>
      <w:r>
        <w:t xml:space="preserve"> </w:t>
      </w:r>
      <w:r>
        <w:t xml:space="preserve">particularly when this involves integrated planning that</w:t>
      </w:r>
      <w:r>
        <w:t xml:space="preserve"> </w:t>
      </w:r>
      <w:r>
        <w:t xml:space="preserve">incorporates physical, natural and social infrastructure (high</w:t>
      </w:r>
      <w:r>
        <w:t xml:space="preserve"> </w:t>
      </w:r>
      <w:r>
        <w:t xml:space="preserve">confidence). Deep emissions reductions and integrated adaptation</w:t>
      </w:r>
      <w:r>
        <w:t xml:space="preserve"> </w:t>
      </w:r>
      <w:r>
        <w:t xml:space="preserve">actions are advanced by: integrated, inclusive land use planning</w:t>
      </w:r>
      <w:r>
        <w:t xml:space="preserve"> </w:t>
      </w:r>
      <w:r>
        <w:t xml:space="preserve">and decision-making; compact urban form by co-locating jobs and</w:t>
      </w:r>
      <w:r>
        <w:t xml:space="preserve"> </w:t>
      </w:r>
      <w:r>
        <w:t xml:space="preserve">housing; reducing or changing urban energy and material consumption;</w:t>
      </w:r>
      <w:r>
        <w:t xml:space="preserve"> </w:t>
      </w:r>
      <w:r>
        <w:t xml:space="preserve">electrification in combination with low emissions sources; improved</w:t>
      </w:r>
      <w:r>
        <w:t xml:space="preserve"> </w:t>
      </w:r>
      <w:r>
        <w:t xml:space="preserve">water and waste management infrastructure; and enhancing carbon</w:t>
      </w:r>
      <w:r>
        <w:t xml:space="preserve"> </w:t>
      </w:r>
      <w:r>
        <w:t xml:space="preserve">uptake and storage in the urban environment (e.g. bio-based building</w:t>
      </w:r>
      <w:r>
        <w:t xml:space="preserve"> </w:t>
      </w:r>
      <w:r>
        <w:t xml:space="preserve">materials, permeable surfaces and urban green and blue infrastructure).</w:t>
      </w:r>
      <w:r>
        <w:t xml:space="preserve"> </w:t>
      </w:r>
      <w:r>
        <w:t xml:space="preserve">Cities can achieve net zero emissions if emissions are reduced within</w:t>
      </w:r>
      <w:r>
        <w:t xml:space="preserve"> </w:t>
      </w:r>
      <w:r>
        <w:t xml:space="preserve">and outside of their administrative boundaries through supply chains,</w:t>
      </w:r>
      <w:r>
        <w:t xml:space="preserve"> </w:t>
      </w:r>
      <w:r>
        <w:t xml:space="preserve">creating beneficial cascading effects across other sectors. (high confidence) {WGII SPM C.5.6, WGII SPM D.1.3, WGII SPM D.3; WGIII SPM C.6, WGIII SPM C.6.2, WGIII TS 5.4, SR1.5 SPM C.2.4}</w:t>
      </w:r>
    </w:p>
    <w:p>
      <w:pPr>
        <w:pStyle w:val="BodyText"/>
      </w:pPr>
      <w:r>
        <w:t xml:space="preserve">Considering climate change impacts and risks (e.g., through climate</w:t>
      </w:r>
      <w:r>
        <w:t xml:space="preserve"> </w:t>
      </w:r>
      <w:r>
        <w:t xml:space="preserve">services) in the design and planning of urban and rural settlements</w:t>
      </w:r>
      <w:r>
        <w:t xml:space="preserve"> </w:t>
      </w:r>
      <w:r>
        <w:t xml:space="preserve">and infrastructure is critical for resilience and enhancing human</w:t>
      </w:r>
      <w:r>
        <w:t xml:space="preserve"> </w:t>
      </w:r>
      <w:r>
        <w:t xml:space="preserve">well-being. Effective mitigation can be advanced at each of the design,</w:t>
      </w:r>
      <w:r>
        <w:t xml:space="preserve"> </w:t>
      </w:r>
      <w:r>
        <w:t xml:space="preserve">construction, retrofit, use and disposal stages for buildings. Mitigation</w:t>
      </w:r>
      <w:r>
        <w:t xml:space="preserve"> </w:t>
      </w:r>
      <w:r>
        <w:t xml:space="preserve">interventions for buildings include: at the construction phase, low-emission construction materials, highly efficient building envelope</w:t>
      </w:r>
      <w:r>
        <w:t xml:space="preserve"> </w:t>
      </w:r>
      <w:r>
        <w:t xml:space="preserve">and the integration of renewable energy solutions; at the use phase,</w:t>
      </w:r>
      <w:r>
        <w:t xml:space="preserve"> </w:t>
      </w:r>
      <w:r>
        <w:t xml:space="preserve">highly efficient appliances/equipment, the optimisation of the use</w:t>
      </w:r>
      <w:r>
        <w:t xml:space="preserve"> </w:t>
      </w:r>
      <w:r>
        <w:t xml:space="preserve">of buildings and their supply with low-emission energy sources;</w:t>
      </w:r>
      <w:r>
        <w:t xml:space="preserve"> </w:t>
      </w:r>
      <w:r>
        <w:t xml:space="preserve">and at the disposal phase, recycling and re-using construction</w:t>
      </w:r>
      <w:r>
        <w:t xml:space="preserve"> </w:t>
      </w:r>
      <w:r>
        <w:t xml:space="preserve">materials. Sufficiency155 measures can limit the demand for energy</w:t>
      </w:r>
      <w:r>
        <w:t xml:space="preserve"> </w:t>
      </w:r>
      <w:r>
        <w:t xml:space="preserve">and materials over the lifecycle of buildings and appliances. (high</w:t>
      </w:r>
      <w:r>
        <w:t xml:space="preserve"> </w:t>
      </w:r>
      <w:r>
        <w:t xml:space="preserve">confidence) {WGII SPM C.2.5; WGIII SPM C.7.2}</w:t>
      </w:r>
    </w:p>
    <w:p>
      <w:pPr>
        <w:pStyle w:val="BodyText"/>
      </w:pPr>
      <w:r>
        <w:t xml:space="preserve">Transport-related GHG emissions can be reduced by demand-side</w:t>
      </w:r>
      <w:r>
        <w:t xml:space="preserve"> </w:t>
      </w:r>
      <w:r>
        <w:t xml:space="preserve">options and low-GHG emissions technologies. Changes in urban form,</w:t>
      </w:r>
      <w:r>
        <w:t xml:space="preserve"> </w:t>
      </w:r>
      <w:r>
        <w:t xml:space="preserve">reallocation of street space for cycling and walking, digitalisation</w:t>
      </w:r>
      <w:r>
        <w:t xml:space="preserve"> </w:t>
      </w:r>
      <w:r>
        <w:t xml:space="preserve">(e.g., teleworking) and programs that encourage changes in consumer</w:t>
      </w:r>
      <w:r>
        <w:t xml:space="preserve"> </w:t>
      </w:r>
      <w:r>
        <w:t xml:space="preserve">behaviour (e.g. transport, pricing) can reduce demand for transport</w:t>
      </w:r>
      <w:r>
        <w:t xml:space="preserve"> </w:t>
      </w:r>
      <w:r>
        <w:t xml:space="preserve">services and support the shift to more energy efficient transport</w:t>
      </w:r>
      <w:r>
        <w:t xml:space="preserve"> </w:t>
      </w:r>
      <w:r>
        <w:t xml:space="preserve">modes (high confidence). Electric vehicles powered by low-emissions</w:t>
      </w:r>
      <w:r>
        <w:t xml:space="preserve"> </w:t>
      </w:r>
      <w:r>
        <w:t xml:space="preserve">electricity offer the largest decarbonisation potential for land-based</w:t>
      </w:r>
      <w:r>
        <w:t xml:space="preserve"> </w:t>
      </w:r>
      <w:r>
        <w:t xml:space="preserve">transport, on a life cycle basis (high confidence). Costs of electrified</w:t>
      </w:r>
      <w:r>
        <w:t xml:space="preserve"> </w:t>
      </w:r>
      <w:r>
        <w:t xml:space="preserve">vehicles are decreasing and their adoption is accelerating, but they</w:t>
      </w:r>
      <w:r>
        <w:t xml:space="preserve"> </w:t>
      </w:r>
      <w:r>
        <w:t xml:space="preserve">require continued investments in supporting infrastructure to increase</w:t>
      </w:r>
      <w:r>
        <w:t xml:space="preserve"> </w:t>
      </w:r>
      <w:r>
        <w:t xml:space="preserve">scale of deployment (high confidence). The environmental footprint of</w:t>
      </w:r>
      <w:r>
        <w:t xml:space="preserve"> </w:t>
      </w:r>
      <w:r>
        <w:t xml:space="preserve">battery production and growing concerns about critical minerals can</w:t>
      </w:r>
      <w:r>
        <w:t xml:space="preserve"> </w:t>
      </w:r>
      <w:r>
        <w:t xml:space="preserve">be addressed by material and supply diversification strategies, energy</w:t>
      </w:r>
      <w:r>
        <w:t xml:space="preserve"> </w:t>
      </w:r>
      <w:r>
        <w:t xml:space="preserve">and material efficiency improvements, and circular material flows</w:t>
      </w:r>
      <w:r>
        <w:t xml:space="preserve"> </w:t>
      </w:r>
      <w:r>
        <w:t xml:space="preserve">(medium confidence). Advances in battery technologies could facilitate</w:t>
      </w:r>
      <w:r>
        <w:t xml:space="preserve"> </w:t>
      </w:r>
      <w:r>
        <w:t xml:space="preserve">the electrification of heavy-duty trucks and compliment conventional</w:t>
      </w:r>
      <w:r>
        <w:t xml:space="preserve"> </w:t>
      </w:r>
      <w:r>
        <w:t xml:space="preserve">electric rail systems (medium confidence). Sustainable biofuels can offer</w:t>
      </w:r>
      <w:r>
        <w:t xml:space="preserve"> </w:t>
      </w:r>
      <w:r>
        <w:t xml:space="preserve">additional mitigation benefits in land-based transport in the short and</w:t>
      </w:r>
      <w:r>
        <w:t xml:space="preserve"> </w:t>
      </w:r>
      <w:r>
        <w:t xml:space="preserve">medium term (medium confidence). Sustainable biofuels, low-emissions</w:t>
      </w:r>
      <w:r>
        <w:t xml:space="preserve"> </w:t>
      </w:r>
      <w:r>
        <w:t xml:space="preserve">hydrogen, and derivatives (including synthetic fuels) can support</w:t>
      </w:r>
      <w:r>
        <w:t xml:space="preserve"> </w:t>
      </w:r>
      <w:r>
        <w:t xml:space="preserve">mitigation of CO2 emissions from shipping, aviation, and heavy-duty</w:t>
      </w:r>
      <w:r>
        <w:t xml:space="preserve"> </w:t>
      </w:r>
      <w:r>
        <w:t xml:space="preserve">land transport but require production process improvements and cost</w:t>
      </w:r>
      <w:r>
        <w:t xml:space="preserve"> </w:t>
      </w:r>
      <w:r>
        <w:t xml:space="preserve">reductions (medium confidence). Key infrastructure systems including</w:t>
      </w:r>
      <w:r>
        <w:t xml:space="preserve"> </w:t>
      </w:r>
      <w:r>
        <w:t xml:space="preserve">sanitation, water, health, transport, communications and energy will</w:t>
      </w:r>
      <w:r>
        <w:t xml:space="preserve"> </w:t>
      </w:r>
      <w:r>
        <w:t xml:space="preserve">be increasingly vulnerable if design standards do not account for</w:t>
      </w:r>
      <w:r>
        <w:t xml:space="preserve"> </w:t>
      </w:r>
      <w:r>
        <w:t xml:space="preserve">changing climate conditions (high confidence). {WGII SPM B.2.5;</w:t>
      </w:r>
      <w:r>
        <w:t xml:space="preserve"> </w:t>
      </w:r>
      <w:r>
        <w:t xml:space="preserve">WGIII SPM C.6.2, WGIII SPM C.8, WGIII SPM C.8.1, WGIII SPM C.8.2,</w:t>
      </w:r>
      <w:r>
        <w:t xml:space="preserve"> </w:t>
      </w:r>
      <w:r>
        <w:t xml:space="preserve">WGIII SPM C.10.2, WGIII SPM C.10.3, WGIII SPM C.10.4}</w:t>
      </w:r>
    </w:p>
    <w:p>
      <w:pPr>
        <w:pStyle w:val="BodyText"/>
      </w:pPr>
      <w:r>
        <w:t xml:space="preserve">Green/natural and blue infrastructure such as urban forestry, green</w:t>
      </w:r>
      <w:r>
        <w:t xml:space="preserve"> </w:t>
      </w:r>
      <w:r>
        <w:t xml:space="preserve">roofs, ponds and lakes, and river restoration can mitigate climate change</w:t>
      </w:r>
      <w:r>
        <w:t xml:space="preserve"> </w:t>
      </w:r>
      <w:r>
        <w:t xml:space="preserve">through carbon uptake and storage, avoided emissions, and reduced</w:t>
      </w:r>
      <w:r>
        <w:t xml:space="preserve"> </w:t>
      </w:r>
      <w:r>
        <w:t xml:space="preserve">energy use while reducing risk from extreme events such as heatwaves,</w:t>
      </w:r>
      <w:r>
        <w:t xml:space="preserve"> </w:t>
      </w:r>
      <w:r>
        <w:t xml:space="preserve">heavy precipitation and droughts, and advancing co-benefits for health,</w:t>
      </w:r>
      <w:r>
        <w:t xml:space="preserve"> </w:t>
      </w:r>
      <w:r>
        <w:t xml:space="preserve">well-being and livelihoods (medium confidence). Urban greening can</w:t>
      </w:r>
      <w:r>
        <w:t xml:space="preserve"> </w:t>
      </w:r>
      <w:r>
        <w:t xml:space="preserve">provide local cooling (very high confidence). Combining green/natural</w:t>
      </w:r>
      <w:r>
        <w:t xml:space="preserve"> </w:t>
      </w:r>
      <w:r>
        <w:t xml:space="preserve">and grey/physical infrastructure adaptation responses has potential</w:t>
      </w:r>
      <w:r>
        <w:t xml:space="preserve"> </w:t>
      </w:r>
      <w:r>
        <w:t xml:space="preserve">to reduce adaptation costs and contribute to flood control, sanitation,</w:t>
      </w:r>
      <w:r>
        <w:t xml:space="preserve"> </w:t>
      </w:r>
      <w:r>
        <w:t xml:space="preserve">water resources management, landslide prevention and coastal</w:t>
      </w:r>
      <w:r>
        <w:t xml:space="preserve"> </w:t>
      </w:r>
      <w:r>
        <w:t xml:space="preserve">protection (medium confidence). Globally, more financing is directed</w:t>
      </w:r>
      <w:r>
        <w:t xml:space="preserve"> </w:t>
      </w:r>
      <w:r>
        <w:t xml:space="preserve">at grey/physical infrastructure than green/natural infrastructure</w:t>
      </w:r>
      <w:r>
        <w:t xml:space="preserve"> </w:t>
      </w:r>
      <w:r>
        <w:t xml:space="preserve">and social infrastructure (medium confidence), and there is limited</w:t>
      </w:r>
      <w:r>
        <w:t xml:space="preserve"> </w:t>
      </w:r>
      <w:r>
        <w:t xml:space="preserve">evidence of investment in informal settlements (medium to high</w:t>
      </w:r>
      <w:r>
        <w:t xml:space="preserve"> </w:t>
      </w:r>
      <w:r>
        <w:t xml:space="preserve">confidence). The greatest gains in well-being in urban areas can be</w:t>
      </w:r>
      <w:r>
        <w:t xml:space="preserve"> </w:t>
      </w:r>
      <w:r>
        <w:t xml:space="preserve">achieved by prioritising finance to reduce climate risk for low-income and marginalised communities including people living in informal</w:t>
      </w:r>
      <w:r>
        <w:t xml:space="preserve"> </w:t>
      </w:r>
      <w:r>
        <w:t xml:space="preserve">settlements (high confidence). {WGII SPM C.2.5, WGII SPM C.2.6, WGII</w:t>
      </w:r>
      <w:r>
        <w:t xml:space="preserve"> </w:t>
      </w:r>
      <w:r>
        <w:t xml:space="preserve">SPM C.2.7, WGII SPM D.3.2, WGII TS.E.1.4, WGII Cross-Chapter Box FEAS;</w:t>
      </w:r>
      <w:r>
        <w:t xml:space="preserve"> </w:t>
      </w:r>
      <w:r>
        <w:t xml:space="preserve">WGIII SPM C.6, WGIII SPM C.6.2, WGIII SPM D.1.3, WGIII SPM D.2.1}</w:t>
      </w:r>
    </w:p>
    <w:p>
      <w:pPr>
        <w:pStyle w:val="BodyText"/>
      </w:pPr>
      <w:r>
        <w:t xml:space="preserve">Responses to ongoing sea level rise and land subsidence in low-lying</w:t>
      </w:r>
      <w:r>
        <w:t xml:space="preserve"> </w:t>
      </w:r>
      <w:r>
        <w:t xml:space="preserve">coastal cities and settlements and small islands include protection,</w:t>
      </w:r>
      <w:r>
        <w:t xml:space="preserve"> </w:t>
      </w:r>
      <w:r>
        <w:t xml:space="preserve">accommodation, advance and planned relocation. These responses</w:t>
      </w:r>
      <w:r>
        <w:t xml:space="preserve"> </w:t>
      </w:r>
      <w:r>
        <w:t xml:space="preserve">are more effective if combined and/or sequenced, planned well ahead,</w:t>
      </w:r>
      <w:r>
        <w:t xml:space="preserve"> </w:t>
      </w:r>
      <w:r>
        <w:t xml:space="preserve">aligned with sociocultural values and development priorities, and</w:t>
      </w:r>
      <w:r>
        <w:t xml:space="preserve"> </w:t>
      </w:r>
      <w:r>
        <w:t xml:space="preserve">underpinned by inclusive community engagement processes. (high</w:t>
      </w:r>
      <w:r>
        <w:t xml:space="preserve"> </w:t>
      </w:r>
      <w:r>
        <w:t xml:space="preserve">confidence) {WGII SPM C.2.8}</w:t>
      </w:r>
    </w:p>
    <w:bookmarkEnd w:id="45"/>
    <w:bookmarkEnd w:id="46"/>
    <w:bookmarkEnd w:id="47"/>
    <w:bookmarkStart w:id="52" w:name="question-5"/>
    <w:p>
      <w:pPr>
        <w:pStyle w:val="Heading1"/>
      </w:pPr>
      <w:r>
        <w:t xml:space="preserve">6. Question 5</w:t>
      </w:r>
    </w:p>
    <w:bookmarkStart w:id="48" w:name="Xf3ba014ed2051c1e3a10b7f6dfcd08a8105889e"/>
    <w:p>
      <w:pPr>
        <w:pStyle w:val="Heading2"/>
      </w:pPr>
      <w:r>
        <w:t xml:space="preserve">6.1 Question: What are some successful examples of cities implementing effective climate action plans?</w:t>
      </w:r>
    </w:p>
    <w:bookmarkEnd w:id="48"/>
    <w:bookmarkStart w:id="49" w:name="query-result"/>
    <w:p>
      <w:pPr>
        <w:pStyle w:val="Heading2"/>
      </w:pPr>
      <w:r>
        <w:t xml:space="preserve">6.2 Query result:</w:t>
      </w:r>
    </w:p>
    <w:p>
      <w:pPr>
        <w:pStyle w:val="FirstParagraph"/>
      </w:pPr>
      <w:r>
        <w:t xml:space="preserve">URL:</w:t>
      </w:r>
      <w:r>
        <w:t xml:space="preserve"> </w:t>
      </w:r>
      <w:hyperlink r:id="rId22">
        <w:r>
          <w:rPr>
            <w:rStyle w:val="Hyperlink"/>
          </w:rPr>
          <w:t xml:space="preserve">https://www.ipcc.ch/report/ar6/wg3/</w:t>
        </w:r>
      </w:hyperlink>
    </w:p>
    <w:p>
      <w:pPr>
        <w:pStyle w:val="BodyText"/>
      </w:pPr>
      <w:r>
        <w:rPr>
          <w:iCs/>
          <w:i/>
        </w:rPr>
        <w:t xml:space="preserve">Cite:</w:t>
      </w:r>
    </w:p>
    <w:p>
      <w:r>
        <w:pict>
          <v:rect style="width:0;height:1.5pt" o:hralign="center" o:hrstd="t" o:hr="t"/>
        </w:pict>
      </w:r>
    </w:p>
    <w:bookmarkEnd w:id="49"/>
    <w:bookmarkStart w:id="51" w:name="content-4"/>
    <w:p>
      <w:pPr>
        <w:pStyle w:val="Heading2"/>
      </w:pPr>
      <w:r>
        <w:t xml:space="preserve">6.3 Content:</w:t>
      </w:r>
    </w:p>
    <w:bookmarkStart w:id="50" w:name="section"/>
    <w:p>
      <w:pPr>
        <w:pStyle w:val="Heading3"/>
      </w:pPr>
      <w:r>
        <w:t xml:space="preserve">6.3.1</w:t>
      </w:r>
      <w:r>
        <w:t xml:space="preserve"> </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3" Target="https://www.ipcc.ch/report/ar6/syr/" TargetMode="External" /><Relationship Type="http://schemas.openxmlformats.org/officeDocument/2006/relationships/hyperlink" Id="rId22" Target="https://www.ipcc.ch/report/ar6/wg3/" TargetMode="External" /></Relationships>
</file>

<file path=word/_rels/footnotes.xml.rels><?xml version="1.0" encoding="UTF-8"?><Relationships xmlns="http://schemas.openxmlformats.org/package/2006/relationships"><Relationship Type="http://schemas.openxmlformats.org/officeDocument/2006/relationships/hyperlink" Id="rId43" Target="https://www.ipcc.ch/report/ar6/syr/" TargetMode="External" /><Relationship Type="http://schemas.openxmlformats.org/officeDocument/2006/relationships/hyperlink" Id="rId22" Target="https://www.ipcc.ch/report/ar6/wg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dc:title>
  <dc:creator>FSCI Hackathon Team</dc:creator>
  <cp:keywords/>
  <dcterms:created xsi:type="dcterms:W3CDTF">2023-08-30T15:38:58Z</dcterms:created>
  <dcterms:modified xsi:type="dcterms:W3CDTF">2023-08-30T15:38:58Z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