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left"/>
      </w:pPr>
      <w:r>
        <w:rPr>
          <w:rFonts w:ascii="Arial" w:hAnsi="Arial"/>
          <w:b/>
          <w:color w:val="1B365D"/>
          <w:sz w:val="52"/>
        </w:rPr>
        <w:t>Multi-Format Publishing Pipeline:</w:t>
        <w:br/>
        <w:t>Standard Test Suite &amp; Feature Matrix</w:t>
      </w:r>
    </w:p>
    <w:p>
      <w:pPr>
        <w:spacing w:after="480"/>
      </w:pPr>
      <w:r>
        <w:rPr>
          <w:i/>
          <w:color w:val="5C768D"/>
          <w:sz w:val="24"/>
        </w:rPr>
        <w:t>A comprehensive 'kitchen sink' diagnostic document verifying structural, inline, semantic, and tabular processing formats across Pandoc, Sphinx, XML, and PDF compilers.</w:t>
      </w:r>
    </w:p>
    <w:p>
      <w:pPr>
        <w:spacing w:after="720" w:line="312" w:lineRule="auto"/>
      </w:pPr>
      <w:r>
        <w:rPr>
          <w:b/>
        </w:rPr>
        <w:t xml:space="preserve">Document Version: </w:t>
      </w:r>
      <w:r>
        <w:t>4.2.1-RC3</w:t>
        <w:br/>
      </w:r>
      <w:r>
        <w:rPr>
          <w:b/>
        </w:rPr>
        <w:t xml:space="preserve">Pipeline Target: </w:t>
      </w:r>
      <w:r>
        <w:t>AST / BITS XML / Pandoc Markdown / LaTeX / HTML5</w:t>
        <w:br/>
      </w:r>
      <w:r>
        <w:rPr>
          <w:b/>
        </w:rPr>
        <w:t xml:space="preserve">Generated: </w:t>
      </w:r>
      <w:r>
        <w:t>2026-05-20 11:58:00 UTC</w:t>
        <w:br/>
      </w:r>
      <w:r>
        <w:rPr>
          <w:b/>
        </w:rPr>
        <w:t xml:space="preserve">Classification: </w:t>
      </w:r>
      <w:r>
        <w:t>Technical Specification / Test Artifact</w:t>
      </w:r>
    </w:p>
    <w:p>
      <w:r>
        <w:br w:type="page"/>
      </w:r>
    </w:p>
    <w:p>
      <w:pPr>
        <w:pStyle w:val="Heading1"/>
        <w:keepNext/>
        <w:spacing w:before="360" w:after="80"/>
      </w:pPr>
      <w:r>
        <w:rPr>
          <w:rFonts w:ascii="Arial" w:hAnsi="Arial"/>
          <w:color w:val="1B365D"/>
          <w:sz w:val="36"/>
        </w:rPr>
        <w:t>1. Inline Typographic Styles &amp; Character Formats</w:t>
      </w:r>
    </w:p>
    <w:p>
      <w:pPr>
        <w:spacing w:after="160" w:line="276" w:lineRule="auto"/>
      </w:pPr>
      <w:r>
        <w:t xml:space="preserve">This paragraph evaluates the system's capacity to isolate and transform character-level formatting primitives. Within this sentence, we intentionally transition into </w:t>
      </w:r>
      <w:r>
        <w:rPr>
          <w:b/>
        </w:rPr>
        <w:t>bold typography</w:t>
      </w:r>
      <w:r>
        <w:t xml:space="preserve">, execute an immediate shift to </w:t>
      </w:r>
      <w:r>
        <w:rPr>
          <w:i/>
        </w:rPr>
        <w:t>italicized text</w:t>
      </w:r>
      <w:r>
        <w:t xml:space="preserve">, layer them together as </w:t>
      </w:r>
      <w:r>
        <w:rPr>
          <w:b/>
          <w:i/>
        </w:rPr>
        <w:t>bold-italic typography</w:t>
      </w:r>
      <w:r>
        <w:t xml:space="preserve">, and apply an </w:t>
      </w:r>
      <w:r>
        <w:rPr>
          <w:u w:val="single"/>
        </w:rPr>
        <w:t>underlined rendering</w:t>
      </w:r>
      <w:r>
        <w:t>. Downstream parsers must accurately map these to distinct AST wrappers like HTML's strong/em, markdown asterisks, or XML nodes.</w:t>
      </w:r>
    </w:p>
    <w:p>
      <w:pPr>
        <w:spacing w:after="160"/>
      </w:pPr>
      <w:r>
        <w:t xml:space="preserve">Advanced typographic variants include </w:t>
      </w:r>
      <w:r>
        <w:t>strikethrough formatting</w:t>
      </w:r>
      <w:r>
        <w:t xml:space="preserve">, as well as small-caps implementation: </w:t>
      </w:r>
      <w:r>
        <w:rPr>
          <w:smallCaps/>
        </w:rPr>
        <w:t>Small Caps Text Variant</w:t>
      </w:r>
      <w:r>
        <w:t>. Script alignment offsets are strictly tested via chemical expressions such as H</w:t>
      </w:r>
      <w:r>
        <w:rPr>
          <w:vertAlign w:val="subscript"/>
        </w:rPr>
        <w:t>2</w:t>
      </w:r>
      <w:r>
        <w:t>SO</w:t>
      </w:r>
      <w:r>
        <w:rPr>
          <w:vertAlign w:val="subscript"/>
        </w:rPr>
        <w:t>4</w:t>
      </w:r>
      <w:r>
        <w:t xml:space="preserve"> and mathematical dimensional spaces like meters squared (m</w:t>
      </w:r>
      <w:r>
        <w:rPr>
          <w:vertAlign w:val="superscript"/>
        </w:rPr>
        <w:t>2</w:t>
      </w:r>
      <w:r>
        <w:t xml:space="preserve">). Inline code fragments should be recognized when styled with fixed-width typography, such as </w:t>
      </w:r>
      <w:r>
        <w:rPr>
          <w:rFonts w:ascii="Consolas" w:hAnsi="Consolas"/>
          <w:sz w:val="19"/>
        </w:rPr>
        <w:t>systemctl restart nginx.service</w:t>
      </w:r>
      <w:r>
        <w:t>.</w:t>
      </w:r>
    </w:p>
    <w:p>
      <w:pPr>
        <w:spacing w:after="240"/>
      </w:pPr>
      <w:r>
        <w:t xml:space="preserve">Complex character sequences include 'single smart quotes', "double smart quotes", an em-dash (—), an en-dash (–), and explicit external URI hyperlinks. (Pipeline note: Hyperlinks should be tested using native relationships). URL: </w:t>
      </w:r>
      <w:r>
        <w:rPr>
          <w:color w:val="0000EE"/>
          <w:u w:val="single"/>
        </w:rPr>
        <w:t>https://ckg.semanticclimate.org/</w:t>
      </w:r>
    </w:p>
    <w:p>
      <w:pPr>
        <w:pStyle w:val="Heading1"/>
        <w:keepNext/>
        <w:spacing w:before="360" w:after="80"/>
      </w:pPr>
      <w:r>
        <w:rPr>
          <w:rFonts w:ascii="Arial" w:hAnsi="Arial"/>
          <w:color w:val="1B365D"/>
          <w:sz w:val="36"/>
        </w:rPr>
        <w:t>2. Structural Paragraph-Level Elements</w:t>
      </w:r>
    </w:p>
    <w:p>
      <w:pPr>
        <w:spacing w:before="160" w:after="160"/>
        <w:ind w:left="720" w:right="720"/>
      </w:pPr>
      <w:r>
        <w:rPr>
          <w:i/>
          <w:color w:val="5C768D"/>
          <w:sz w:val="20"/>
        </w:rPr>
        <w:t>“This blockquote element mimics an extract from an academic reference or historical brief. It contains an internal carriage return.</w:t>
        <w:br/>
        <w:t>This second line checks if multi-line blockquotes maintain structural encapsulation or break into disconnected paragraphs during pipeline ingestion.”</w:t>
      </w:r>
    </w:p>
    <w:tbl>
      <w:tblPr>
        <w:tblW w:type="auto" w:w="0"/>
        <w:jc w:val="center"/>
        <w:tblLayout w:type="fixed"/>
        <w:tblLook w:firstColumn="1" w:firstRow="1" w:lastColumn="0" w:lastRow="0" w:noHBand="0" w:noVBand="1" w:val="04A0"/>
      </w:tblPr>
      <w:tblGrid>
        <w:gridCol w:w="9029"/>
      </w:tblGrid>
      <w:tr>
        <w:tc>
          <w:tcPr>
            <w:tcW w:type="dxa" w:w="9029"/>
            <w:shd w:fill="F4F6F8"/>
            <w:tcMar>
              <w:top w:w="140" w:type="dxa"/>
              <w:bottom w:w="140" w:type="dxa"/>
              <w:left w:w="180" w:type="dxa"/>
              <w:right w:w="180" w:type="dxa"/>
            </w:tcMar>
          </w:tcPr>
          <w:p>
            <w:pPr>
              <w:spacing w:before="0" w:after="0"/>
            </w:pPr>
            <w:r>
              <w:rPr>
                <w:rFonts w:ascii="Consolas" w:hAnsi="Consolas"/>
                <w:color w:val="2C3E50"/>
                <w:sz w:val="18"/>
              </w:rPr>
              <w:t>#!/usr/bin/env python3</w:t>
              <w:br/>
              <w:t>import sys</w:t>
              <w:br/>
              <w:br/>
              <w:t>def evaluate_pipeline_node(node_type, payload):</w:t>
              <w:br/>
              <w:t xml:space="preserve">    """Validates schema matching for nested AST elements."""</w:t>
              <w:br/>
              <w:t xml:space="preserve">    if node_type not in ['inline', 'block', 'table', 'meta']:</w:t>
              <w:br/>
              <w:t xml:space="preserve">        raise ValueError(f"Format violation: {node_type}")</w:t>
              <w:br/>
              <w:t xml:space="preserve">    return f"Processed: {len(payload)} bytes"</w:t>
              <w:br/>
            </w:r>
          </w:p>
        </w:tc>
      </w:tr>
    </w:tbl>
    <w:p>
      <w:pPr>
        <w:spacing w:before="160" w:after="0"/>
      </w:pPr>
    </w:p>
    <w:p>
      <w:pPr>
        <w:pStyle w:val="Heading1"/>
        <w:keepNext/>
        <w:spacing w:before="360" w:after="80"/>
      </w:pPr>
      <w:r>
        <w:rPr>
          <w:rFonts w:ascii="Arial" w:hAnsi="Arial"/>
          <w:color w:val="1B365D"/>
          <w:sz w:val="36"/>
        </w:rPr>
        <w:t>3. Nested List Hierarchies &amp; Enumerations</w:t>
      </w:r>
    </w:p>
    <w:p>
      <w:pPr>
        <w:pStyle w:val="Heading2"/>
        <w:keepNext/>
        <w:spacing w:before="240" w:after="80"/>
      </w:pPr>
      <w:r>
        <w:rPr>
          <w:rFonts w:ascii="Arial" w:hAnsi="Arial"/>
          <w:color w:val="5C768D"/>
          <w:sz w:val="28"/>
        </w:rPr>
        <w:t>3.1 Ordered Enumerations</w:t>
      </w:r>
    </w:p>
    <w:p>
      <w:pPr>
        <w:pStyle w:val="ListNumber"/>
        <w:spacing w:after="60"/>
      </w:pPr>
      <w:r>
        <w:t>Primary Level Item Alpha — Core foundation node.</w:t>
      </w:r>
    </w:p>
    <w:p>
      <w:pPr>
        <w:pStyle w:val="ListNumber"/>
        <w:spacing w:after="60"/>
      </w:pPr>
      <w:r>
        <w:t>Primary Level Item Beta — Multi-stage nested trigger block.</w:t>
      </w:r>
    </w:p>
    <w:p>
      <w:pPr>
        <w:pStyle w:val="ListNumber2"/>
        <w:spacing w:after="60"/>
      </w:pPr>
      <w:r>
        <w:t>Sub-level Roman/Alphabetic validation point I.</w:t>
      </w:r>
    </w:p>
    <w:p>
      <w:pPr>
        <w:pStyle w:val="ListNumber2"/>
        <w:spacing w:after="60"/>
      </w:pPr>
      <w:r>
        <w:t>Sub-level Roman/Alphabetic validation point II.</w:t>
      </w:r>
    </w:p>
    <w:p>
      <w:pPr>
        <w:pStyle w:val="ListNumber"/>
        <w:spacing w:after="160"/>
      </w:pPr>
      <w:r>
        <w:t>Primary Level Item Gamma — Trailing structural item.</w:t>
      </w:r>
    </w:p>
    <w:p>
      <w:pPr>
        <w:pStyle w:val="Heading2"/>
        <w:keepNext/>
        <w:spacing w:before="240" w:after="80"/>
      </w:pPr>
      <w:r>
        <w:rPr>
          <w:rFonts w:ascii="Arial" w:hAnsi="Arial"/>
          <w:color w:val="5C768D"/>
          <w:sz w:val="28"/>
        </w:rPr>
        <w:t>3.2 Unordered Bullet Groups</w:t>
      </w:r>
    </w:p>
    <w:p>
      <w:pPr>
        <w:pStyle w:val="ListBullet"/>
        <w:spacing w:after="60"/>
      </w:pPr>
      <w:r>
        <w:t>First-tier bullet item with standard circular glyph marker.</w:t>
      </w:r>
    </w:p>
    <w:p>
      <w:pPr>
        <w:pStyle w:val="ListBullet2"/>
        <w:spacing w:after="60"/>
      </w:pPr>
      <w:r>
        <w:t>Second-tier nested bullet item demonstrating indent step-scaling.</w:t>
      </w:r>
    </w:p>
    <w:p>
      <w:pPr>
        <w:pStyle w:val="ListBullet3"/>
        <w:spacing w:after="60"/>
      </w:pPr>
      <w:r>
        <w:t>Third-tier square/hyphen token sub-nested block.</w:t>
      </w:r>
    </w:p>
    <w:p>
      <w:pPr>
        <w:pStyle w:val="ListBullet"/>
        <w:spacing w:after="240"/>
      </w:pPr>
      <w:r>
        <w:t>Terminal first-tier bullet clearing the indent context loops.</w:t>
      </w:r>
    </w:p>
    <w:p>
      <w:pPr>
        <w:pStyle w:val="Heading1"/>
        <w:keepNext/>
        <w:spacing w:before="360" w:after="80"/>
      </w:pPr>
      <w:r>
        <w:rPr>
          <w:rFonts w:ascii="Arial" w:hAnsi="Arial"/>
          <w:color w:val="1B365D"/>
          <w:sz w:val="36"/>
        </w:rPr>
        <w:t>4. Mathematical Expressions &amp; Notation Equations</w:t>
      </w:r>
    </w:p>
    <w:p>
      <w:pPr>
        <w:spacing w:after="120"/>
      </w:pPr>
      <w:r>
        <w:t xml:space="preserve">For light mathematical expressions, multi-format pipelines must interpret both explicit inline expressions and isolated, centered formula paragraphs. Below is an inline equation testing Unicode layout rules: </w:t>
      </w:r>
      <w:r>
        <w:rPr>
          <w:rFonts w:ascii="Times New Roman" w:hAnsi="Times New Roman"/>
          <w:i/>
          <w:color w:val="1B365D"/>
        </w:rPr>
        <w:t>f(x) = a₀ + ∑_{n=1}^∞ (a_n cos(nπx/L) + b_n sin(nπx/L))</w:t>
      </w:r>
      <w:r>
        <w:t>, followed immediately by running body text to evaluate wrap-line height alignment parameters.</w:t>
      </w:r>
    </w:p>
    <w:p>
      <w:pPr>
        <w:spacing w:before="240" w:after="240"/>
        <w:jc w:val="center"/>
      </w:pPr>
      <w:r>
        <w:rPr>
          <w:rFonts w:ascii="Times New Roman" w:hAnsi="Times New Roman"/>
          <w:b/>
          <w:color w:val="1B365D"/>
          <w:sz w:val="24"/>
        </w:rPr>
        <w:t>∮_C B · dl = μ₀ I_{enc} + μ₀ ε₀ (dΦ_E / dt)</w:t>
      </w:r>
    </w:p>
    <w:p>
      <w:pPr>
        <w:pStyle w:val="Heading1"/>
        <w:keepNext/>
        <w:spacing w:before="360" w:after="80"/>
      </w:pPr>
      <w:r>
        <w:rPr>
          <w:rFonts w:ascii="Arial" w:hAnsi="Arial"/>
          <w:color w:val="1B365D"/>
          <w:sz w:val="36"/>
        </w:rPr>
        <w:t>5. Complex Tabular Architectures &amp; Matrix Data</w:t>
      </w:r>
    </w:p>
    <w:p>
      <w:pPr>
        <w:spacing w:after="160"/>
      </w:pPr>
      <w:r>
        <w:t>This structural block tests alignment, cell split spanning, header row properties, and background shading layers. Cross-compilers must capture the distinct boundaries cleanly.</w:t>
      </w:r>
    </w:p>
    <w:tbl>
      <w:tblPr>
        <w:tblW w:type="auto" w:w="0"/>
        <w:jc w:val="center"/>
        <w:tblLayout w:type="fixed"/>
        <w:tblLook w:firstColumn="1" w:firstRow="1" w:lastColumn="0" w:lastRow="0" w:noHBand="0" w:noVBand="1" w:val="04A0"/>
      </w:tblPr>
      <w:tblGrid>
        <w:gridCol w:w="2257"/>
        <w:gridCol w:w="2257"/>
        <w:gridCol w:w="2257"/>
        <w:gridCol w:w="2257"/>
      </w:tblGrid>
      <w:tr>
        <w:trPr>
          <w:tblHeader/>
        </w:trPr>
        <w:tc>
          <w:tcPr>
            <w:tcW w:type="dxa" w:w="2160"/>
            <w:shd w:fill="1B365D"/>
            <w:tcMar>
              <w:top w:w="120" w:type="dxa"/>
              <w:bottom w:w="120" w:type="dxa"/>
              <w:left w:w="100" w:type="dxa"/>
              <w:right w:w="100" w:type="dxa"/>
            </w:tcMar>
          </w:tcPr>
          <w:p>
            <w:pPr>
              <w:jc w:val="left"/>
            </w:pPr>
            <w:r>
              <w:rPr>
                <w:rFonts w:ascii="Arial" w:hAnsi="Arial"/>
                <w:b/>
                <w:color w:val="FFFFFF"/>
                <w:sz w:val="20"/>
              </w:rPr>
              <w:t>Metric Node ID</w:t>
            </w:r>
          </w:p>
        </w:tc>
        <w:tc>
          <w:tcPr>
            <w:tcW w:type="dxa" w:w="3168"/>
            <w:shd w:fill="1B365D"/>
            <w:tcMar>
              <w:top w:w="120" w:type="dxa"/>
              <w:bottom w:w="120" w:type="dxa"/>
              <w:left w:w="100" w:type="dxa"/>
              <w:right w:w="100" w:type="dxa"/>
            </w:tcMar>
          </w:tcPr>
          <w:p>
            <w:pPr>
              <w:jc w:val="left"/>
            </w:pPr>
            <w:r>
              <w:rPr>
                <w:rFonts w:ascii="Arial" w:hAnsi="Arial"/>
                <w:b/>
                <w:color w:val="FFFFFF"/>
                <w:sz w:val="20"/>
              </w:rPr>
              <w:t>Functional Processing Block Target</w:t>
            </w:r>
          </w:p>
        </w:tc>
        <w:tc>
          <w:tcPr>
            <w:tcW w:type="dxa" w:w="1872"/>
            <w:shd w:fill="1B365D"/>
            <w:tcMar>
              <w:top w:w="120" w:type="dxa"/>
              <w:bottom w:w="120" w:type="dxa"/>
              <w:left w:w="100" w:type="dxa"/>
              <w:right w:w="100" w:type="dxa"/>
            </w:tcMar>
          </w:tcPr>
          <w:p>
            <w:pPr>
              <w:jc w:val="center"/>
            </w:pPr>
            <w:r>
              <w:rPr>
                <w:rFonts w:ascii="Arial" w:hAnsi="Arial"/>
                <w:b/>
                <w:color w:val="FFFFFF"/>
                <w:sz w:val="20"/>
              </w:rPr>
              <w:t>AST Status</w:t>
            </w:r>
          </w:p>
        </w:tc>
        <w:tc>
          <w:tcPr>
            <w:tcW w:type="dxa" w:w="1829"/>
            <w:shd w:fill="1B365D"/>
            <w:tcMar>
              <w:top w:w="120" w:type="dxa"/>
              <w:bottom w:w="120" w:type="dxa"/>
              <w:left w:w="100" w:type="dxa"/>
              <w:right w:w="100" w:type="dxa"/>
            </w:tcMar>
          </w:tcPr>
          <w:p>
            <w:pPr>
              <w:jc w:val="center"/>
            </w:pPr>
            <w:r>
              <w:rPr>
                <w:rFonts w:ascii="Arial" w:hAnsi="Arial"/>
                <w:b/>
                <w:color w:val="FFFFFF"/>
                <w:sz w:val="20"/>
              </w:rPr>
              <w:t>Success rate</w:t>
            </w:r>
          </w:p>
        </w:tc>
      </w:tr>
      <w:tr>
        <w:trPr>
          <w:cantSplit/>
        </w:trPr>
        <w:tc>
          <w:tcPr>
            <w:tcW w:type="dxa" w:w="2160"/>
            <w:shd w:fill="FFFFFF"/>
            <w:tcMar>
              <w:top w:w="100" w:type="dxa"/>
              <w:bottom w:w="100" w:type="dxa"/>
              <w:left w:w="100" w:type="dxa"/>
              <w:right w:w="100" w:type="dxa"/>
            </w:tcMar>
          </w:tcPr>
          <w:p>
            <w:pPr>
              <w:jc w:val="left"/>
            </w:pPr>
            <w:r>
              <w:rPr>
                <w:rFonts w:ascii="Calibri" w:hAnsi="Calibri"/>
                <w:sz w:val="19"/>
              </w:rPr>
              <w:t>SYS-011</w:t>
            </w:r>
          </w:p>
        </w:tc>
        <w:tc>
          <w:tcPr>
            <w:tcW w:type="dxa" w:w="3168"/>
            <w:shd w:fill="FFFFFF"/>
            <w:tcMar>
              <w:top w:w="100" w:type="dxa"/>
              <w:bottom w:w="100" w:type="dxa"/>
              <w:left w:w="100" w:type="dxa"/>
              <w:right w:w="100" w:type="dxa"/>
            </w:tcMar>
          </w:tcPr>
          <w:p>
            <w:pPr>
              <w:jc w:val="left"/>
            </w:pPr>
            <w:r>
              <w:rPr>
                <w:rFonts w:ascii="Calibri" w:hAnsi="Calibri"/>
                <w:sz w:val="19"/>
              </w:rPr>
              <w:t>Inline Regular/Bold/Italic Lexer Compilation</w:t>
            </w:r>
          </w:p>
        </w:tc>
        <w:tc>
          <w:tcPr>
            <w:tcW w:type="dxa" w:w="1872"/>
            <w:shd w:fill="FFFFFF"/>
            <w:tcMar>
              <w:top w:w="100" w:type="dxa"/>
              <w:bottom w:w="100" w:type="dxa"/>
              <w:left w:w="100" w:type="dxa"/>
              <w:right w:w="100" w:type="dxa"/>
            </w:tcMar>
          </w:tcPr>
          <w:p>
            <w:pPr>
              <w:jc w:val="center"/>
            </w:pPr>
            <w:r>
              <w:rPr>
                <w:rFonts w:ascii="Calibri" w:hAnsi="Calibri"/>
                <w:b/>
                <w:color w:val="27AE60"/>
                <w:sz w:val="19"/>
              </w:rPr>
              <w:t>PASSED</w:t>
            </w:r>
          </w:p>
        </w:tc>
        <w:tc>
          <w:tcPr>
            <w:tcW w:type="dxa" w:w="1829"/>
            <w:shd w:fill="FFFFFF"/>
            <w:tcMar>
              <w:top w:w="100" w:type="dxa"/>
              <w:bottom w:w="100" w:type="dxa"/>
              <w:left w:w="100" w:type="dxa"/>
              <w:right w:w="100" w:type="dxa"/>
            </w:tcMar>
          </w:tcPr>
          <w:p>
            <w:pPr>
              <w:jc w:val="right"/>
            </w:pPr>
            <w:r>
              <w:rPr>
                <w:rFonts w:ascii="Calibri" w:hAnsi="Calibri"/>
                <w:sz w:val="19"/>
              </w:rPr>
              <w:t>100.0%</w:t>
            </w:r>
          </w:p>
        </w:tc>
      </w:tr>
      <w:tr>
        <w:trPr>
          <w:cantSplit/>
        </w:trPr>
        <w:tc>
          <w:tcPr>
            <w:tcW w:type="dxa" w:w="2160"/>
            <w:shd w:fill="F4F6F8"/>
            <w:tcMar>
              <w:top w:w="100" w:type="dxa"/>
              <w:bottom w:w="100" w:type="dxa"/>
              <w:left w:w="100" w:type="dxa"/>
              <w:right w:w="100" w:type="dxa"/>
            </w:tcMar>
          </w:tcPr>
          <w:p>
            <w:pPr>
              <w:jc w:val="left"/>
            </w:pPr>
            <w:r>
              <w:rPr>
                <w:rFonts w:ascii="Calibri" w:hAnsi="Calibri"/>
                <w:sz w:val="19"/>
              </w:rPr>
              <w:t>SYS-012</w:t>
            </w:r>
          </w:p>
        </w:tc>
        <w:tc>
          <w:tcPr>
            <w:tcW w:type="dxa" w:w="3168"/>
            <w:shd w:fill="F4F6F8"/>
            <w:tcMar>
              <w:top w:w="100" w:type="dxa"/>
              <w:bottom w:w="100" w:type="dxa"/>
              <w:left w:w="100" w:type="dxa"/>
              <w:right w:w="100" w:type="dxa"/>
            </w:tcMar>
          </w:tcPr>
          <w:p>
            <w:pPr>
              <w:jc w:val="left"/>
            </w:pPr>
            <w:r>
              <w:rPr>
                <w:rFonts w:ascii="Calibri" w:hAnsi="Calibri"/>
                <w:sz w:val="19"/>
              </w:rPr>
              <w:t>Nested Blockquotes &amp; Fixed-width Verbatim Bounds</w:t>
            </w:r>
          </w:p>
        </w:tc>
        <w:tc>
          <w:tcPr>
            <w:tcW w:type="dxa" w:w="1872"/>
            <w:shd w:fill="F4F6F8"/>
            <w:tcMar>
              <w:top w:w="100" w:type="dxa"/>
              <w:bottom w:w="100" w:type="dxa"/>
              <w:left w:w="100" w:type="dxa"/>
              <w:right w:w="100" w:type="dxa"/>
            </w:tcMar>
          </w:tcPr>
          <w:p>
            <w:pPr>
              <w:jc w:val="center"/>
            </w:pPr>
            <w:r>
              <w:rPr>
                <w:rFonts w:ascii="Calibri" w:hAnsi="Calibri"/>
                <w:color w:val="D35400"/>
                <w:sz w:val="19"/>
              </w:rPr>
              <w:t>VERIFY</w:t>
            </w:r>
          </w:p>
        </w:tc>
        <w:tc>
          <w:tcPr>
            <w:tcW w:type="dxa" w:w="1829"/>
            <w:shd w:fill="F4F6F8"/>
            <w:tcMar>
              <w:top w:w="100" w:type="dxa"/>
              <w:bottom w:w="100" w:type="dxa"/>
              <w:left w:w="100" w:type="dxa"/>
              <w:right w:w="100" w:type="dxa"/>
            </w:tcMar>
          </w:tcPr>
          <w:p>
            <w:pPr>
              <w:jc w:val="right"/>
            </w:pPr>
            <w:r>
              <w:rPr>
                <w:rFonts w:ascii="Calibri" w:hAnsi="Calibri"/>
                <w:sz w:val="19"/>
              </w:rPr>
              <w:t>94.2%</w:t>
            </w:r>
          </w:p>
        </w:tc>
      </w:tr>
      <w:tr>
        <w:trPr>
          <w:cantSplit/>
        </w:trPr>
        <w:tc>
          <w:tcPr>
            <w:tcW w:type="dxa" w:w="2160"/>
            <w:shd w:fill="FFFFFF"/>
            <w:tcMar>
              <w:top w:w="100" w:type="dxa"/>
              <w:bottom w:w="100" w:type="dxa"/>
              <w:left w:w="100" w:type="dxa"/>
              <w:right w:w="100" w:type="dxa"/>
            </w:tcMar>
          </w:tcPr>
          <w:p>
            <w:pPr>
              <w:jc w:val="left"/>
            </w:pPr>
            <w:r>
              <w:rPr>
                <w:rFonts w:ascii="Calibri" w:hAnsi="Calibri"/>
                <w:sz w:val="19"/>
              </w:rPr>
              <w:t>SYS-013</w:t>
            </w:r>
          </w:p>
        </w:tc>
        <w:tc>
          <w:tcPr>
            <w:tcW w:type="dxa" w:w="3168"/>
            <w:shd w:fill="FFFFFF"/>
            <w:tcMar>
              <w:top w:w="100" w:type="dxa"/>
              <w:bottom w:w="100" w:type="dxa"/>
              <w:left w:w="100" w:type="dxa"/>
              <w:right w:w="100" w:type="dxa"/>
            </w:tcMar>
          </w:tcPr>
          <w:p>
            <w:pPr>
              <w:jc w:val="left"/>
            </w:pPr>
            <w:r>
              <w:rPr>
                <w:rFonts w:ascii="Calibri" w:hAnsi="Calibri"/>
                <w:sz w:val="19"/>
              </w:rPr>
              <w:t>Unicode Character Representation &amp; Entities</w:t>
            </w:r>
          </w:p>
        </w:tc>
        <w:tc>
          <w:tcPr>
            <w:tcW w:type="dxa" w:w="1872"/>
            <w:shd w:fill="FFFFFF"/>
            <w:tcMar>
              <w:top w:w="100" w:type="dxa"/>
              <w:bottom w:w="100" w:type="dxa"/>
              <w:left w:w="100" w:type="dxa"/>
              <w:right w:w="100" w:type="dxa"/>
            </w:tcMar>
          </w:tcPr>
          <w:p>
            <w:pPr>
              <w:jc w:val="center"/>
            </w:pPr>
            <w:r>
              <w:rPr>
                <w:rFonts w:ascii="Calibri" w:hAnsi="Calibri"/>
                <w:b/>
                <w:color w:val="27AE60"/>
                <w:sz w:val="19"/>
              </w:rPr>
              <w:t>PASSED</w:t>
            </w:r>
          </w:p>
        </w:tc>
        <w:tc>
          <w:tcPr>
            <w:tcW w:type="dxa" w:w="1829"/>
            <w:shd w:fill="FFFFFF"/>
            <w:tcMar>
              <w:top w:w="100" w:type="dxa"/>
              <w:bottom w:w="100" w:type="dxa"/>
              <w:left w:w="100" w:type="dxa"/>
              <w:right w:w="100" w:type="dxa"/>
            </w:tcMar>
          </w:tcPr>
          <w:p>
            <w:pPr>
              <w:jc w:val="right"/>
            </w:pPr>
            <w:r>
              <w:rPr>
                <w:rFonts w:ascii="Calibri" w:hAnsi="Calibri"/>
                <w:sz w:val="19"/>
              </w:rPr>
              <w:t>100.0%</w:t>
            </w:r>
          </w:p>
        </w:tc>
      </w:tr>
      <w:tr>
        <w:trPr>
          <w:cantSplit/>
        </w:trPr>
        <w:tc>
          <w:tcPr>
            <w:tcW w:type="dxa" w:w="2160"/>
            <w:shd w:fill="F4F6F8"/>
            <w:tcMar>
              <w:top w:w="100" w:type="dxa"/>
              <w:bottom w:w="100" w:type="dxa"/>
              <w:left w:w="100" w:type="dxa"/>
              <w:right w:w="100" w:type="dxa"/>
            </w:tcMar>
          </w:tcPr>
          <w:p>
            <w:pPr>
              <w:jc w:val="left"/>
            </w:pPr>
            <w:r>
              <w:rPr>
                <w:rFonts w:ascii="Calibri" w:hAnsi="Calibri"/>
                <w:sz w:val="19"/>
              </w:rPr>
              <w:t>SYS-014</w:t>
            </w:r>
          </w:p>
        </w:tc>
        <w:tc>
          <w:tcPr>
            <w:tcW w:type="dxa" w:w="3168"/>
            <w:shd w:fill="F4F6F8"/>
            <w:tcMar>
              <w:top w:w="100" w:type="dxa"/>
              <w:bottom w:w="100" w:type="dxa"/>
              <w:left w:w="100" w:type="dxa"/>
              <w:right w:w="100" w:type="dxa"/>
            </w:tcMar>
          </w:tcPr>
          <w:p>
            <w:pPr>
              <w:jc w:val="left"/>
            </w:pPr>
            <w:r>
              <w:rPr>
                <w:rFonts w:ascii="Calibri" w:hAnsi="Calibri"/>
                <w:sz w:val="19"/>
              </w:rPr>
              <w:t>Spanning Matrices and Cell Alignment Transforms</w:t>
            </w:r>
          </w:p>
        </w:tc>
        <w:tc>
          <w:tcPr>
            <w:tcW w:type="dxa" w:w="1872"/>
            <w:shd w:fill="F4F6F8"/>
            <w:tcMar>
              <w:top w:w="100" w:type="dxa"/>
              <w:bottom w:w="100" w:type="dxa"/>
              <w:left w:w="100" w:type="dxa"/>
              <w:right w:w="100" w:type="dxa"/>
            </w:tcMar>
          </w:tcPr>
          <w:p>
            <w:pPr>
              <w:jc w:val="center"/>
            </w:pPr>
            <w:r>
              <w:rPr>
                <w:rFonts w:ascii="Calibri" w:hAnsi="Calibri"/>
                <w:b/>
                <w:color w:val="C0392B"/>
                <w:sz w:val="19"/>
              </w:rPr>
              <w:t>FAILED</w:t>
            </w:r>
          </w:p>
        </w:tc>
        <w:tc>
          <w:tcPr>
            <w:tcW w:type="dxa" w:w="1829"/>
            <w:shd w:fill="F4F6F8"/>
            <w:tcMar>
              <w:top w:w="100" w:type="dxa"/>
              <w:bottom w:w="100" w:type="dxa"/>
              <w:left w:w="100" w:type="dxa"/>
              <w:right w:w="100" w:type="dxa"/>
            </w:tcMar>
          </w:tcPr>
          <w:p>
            <w:pPr>
              <w:jc w:val="right"/>
            </w:pPr>
            <w:r>
              <w:rPr>
                <w:rFonts w:ascii="Calibri" w:hAnsi="Calibri"/>
                <w:sz w:val="19"/>
              </w:rPr>
              <w:t>0.0%</w:t>
            </w:r>
          </w:p>
        </w:tc>
      </w:tr>
    </w:tbl>
    <w:p>
      <w:pPr>
        <w:spacing w:before="360"/>
      </w:pPr>
    </w:p>
    <w:p>
      <w:pPr>
        <w:pStyle w:val="Heading1"/>
        <w:keepNext/>
        <w:spacing w:before="360" w:after="80"/>
      </w:pPr>
      <w:r>
        <w:rPr>
          <w:rFonts w:ascii="Arial" w:hAnsi="Arial"/>
          <w:color w:val="1B365D"/>
          <w:sz w:val="36"/>
        </w:rPr>
        <w:t>6. Semantic Callouts &amp; Accent Warning Panels</w:t>
      </w:r>
    </w:p>
    <w:tbl>
      <w:tblPr>
        <w:tblW w:type="auto" w:w="0"/>
        <w:jc w:val="center"/>
        <w:tblLayout w:type="fixed"/>
        <w:tblLook w:firstColumn="1" w:firstRow="1" w:lastColumn="0" w:lastRow="0" w:noHBand="0" w:noVBand="1" w:val="04A0"/>
      </w:tblPr>
      <w:tblGrid>
        <w:gridCol w:w="9029"/>
      </w:tblGrid>
      <w:tr>
        <w:tc>
          <w:tcPr>
            <w:tcW w:type="dxa" w:w="9029"/>
            <w:shd w:fill="FFF9E6"/>
            <w:tcMar>
              <w:top w:w="120" w:type="dxa"/>
              <w:bottom w:w="120" w:type="dxa"/>
              <w:left w:w="160" w:type="dxa"/>
              <w:right w:w="160" w:type="dxa"/>
            </w:tcMar>
            <w:tcBorders>
              <w:top w:val="none"/>
              <w:left w:val="single" w:sz="36" w:space="0" w:color="D35400"/>
              <w:bottom w:val="none"/>
              <w:right w:val="none"/>
            </w:tcBorders>
          </w:tcPr>
          <w:p>
            <w:pPr>
              <w:spacing w:before="0" w:after="0"/>
            </w:pPr>
            <w:r>
              <w:rPr>
                <w:b/>
                <w:color w:val="D35400"/>
                <w:sz w:val="20"/>
              </w:rPr>
              <w:t>CRITICAL PIPELINE EXCEPTION WARNING:</w:t>
              <w:br/>
            </w:r>
            <w:r>
              <w:rPr>
                <w:color w:val="333333"/>
                <w:sz w:val="19"/>
              </w:rPr>
              <w:t>Any pipeline parser targeting structured BITS XML formats must process the section blocks above without dropping block container parent tokens. Failure to maintain strict hierarchy definitions will cause inline truncation error patterns in downstream rendering compilation passes.</w:t>
            </w:r>
          </w:p>
        </w:tc>
      </w:tr>
    </w:tbl>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Pipeline Test Artifact </w:t>
      <w:tab/>
      <w:tab/>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DOCX Pipeline Test Suite </w:t>
      <w:tab/>
      <w:tab/>
      <w:t>Document Format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F8C8D"/>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F8C8D"/>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