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  <w:jc w:val="center"/>
      </w:pPr>
      <w:r>
        <w:rPr>
          <w:rFonts w:ascii="Aptos" w:hAnsi="Aptos" w:eastAsia="Aptos"/>
          <w:b/>
          <w:color w:val="17365D"/>
          <w:sz w:val="22"/>
        </w:rPr>
        <w:t>Collaborative Risk Applications</w:t>
      </w:r>
    </w:p>
    <w:p>
      <w:pPr>
        <w:spacing w:before="0" w:after="80"/>
        <w:jc w:val="center"/>
      </w:pPr>
      <w:r>
        <w:rPr>
          <w:rFonts w:ascii="Aptos Display" w:hAnsi="Aptos Display" w:eastAsia="Aptos Display"/>
          <w:b/>
          <w:color w:val="2D2D2D"/>
          <w:sz w:val="36"/>
        </w:rPr>
        <w:t>SERVICE CHECKLIST REPORT</w:t>
      </w:r>
    </w:p>
    <w:p>
      <w:pPr>
        <w:spacing w:before="0" w:after="200"/>
        <w:jc w:val="center"/>
      </w:pPr>
      <w:r>
        <w:rPr>
          <w:b w:val="0"/>
        </w:rPr>
        <w:t>Maintenix servicing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55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1737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Site / Area</w:t>
            </w:r>
          </w:p>
        </w:tc>
        <w:tc>
          <w:tcPr>
            <w:tcW w:type="dxa" w:w="3196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F6F7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</w:rPr>
              <w:t>&lt;&lt;area&gt;&gt;</w:t>
            </w:r>
          </w:p>
        </w:tc>
        <w:tc>
          <w:tcPr>
            <w:tcW w:type="dxa" w:w="1555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1737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Service Interval</w:t>
            </w:r>
          </w:p>
        </w:tc>
        <w:tc>
          <w:tcPr>
            <w:tcW w:type="dxa" w:w="3556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F6F7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</w:rPr>
              <w:t>&lt;&lt;service&gt;&gt;</w:t>
            </w:r>
          </w:p>
        </w:tc>
      </w:tr>
      <w:tr>
        <w:tc>
          <w:tcPr>
            <w:tcW w:type="dxa" w:w="1555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1737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Date Completed</w:t>
            </w:r>
          </w:p>
        </w:tc>
        <w:tc>
          <w:tcPr>
            <w:tcW w:type="dxa" w:w="3196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F6F7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</w:rPr>
              <w:t>&lt;&lt;createdAt&gt;&gt;</w:t>
            </w:r>
          </w:p>
        </w:tc>
        <w:tc>
          <w:tcPr>
            <w:tcW w:type="dxa" w:w="1555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1737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Technician</w:t>
            </w:r>
          </w:p>
        </w:tc>
        <w:tc>
          <w:tcPr>
            <w:tcW w:type="dxa" w:w="3556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F6F7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</w:rPr>
              <w:t>&lt;&lt;technician&gt;&gt;</w:t>
            </w:r>
          </w:p>
        </w:tc>
      </w:tr>
      <w:tr>
        <w:tc>
          <w:tcPr>
            <w:tcW w:type="dxa" w:w="1555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1737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Report ID</w:t>
            </w:r>
          </w:p>
        </w:tc>
        <w:tc>
          <w:tcPr>
            <w:tcW w:type="dxa" w:w="3196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F6F7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</w:rPr>
              <w:t>&lt;&lt;reportId&gt;&gt;</w:t>
            </w:r>
          </w:p>
        </w:tc>
        <w:tc>
          <w:tcPr>
            <w:tcW w:type="dxa" w:w="1555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1737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Frequency Key</w:t>
            </w:r>
          </w:p>
        </w:tc>
        <w:tc>
          <w:tcPr>
            <w:tcW w:type="dxa" w:w="3556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F6F7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</w:rPr>
              <w:t>&lt;&lt;frequencyKey&gt;&gt;</w:t>
            </w:r>
          </w:p>
        </w:tc>
      </w:tr>
      <w:tr>
        <w:tc>
          <w:tcPr>
            <w:tcW w:type="dxa" w:w="1555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1737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Applicable Standards</w:t>
            </w:r>
          </w:p>
        </w:tc>
        <w:tc>
          <w:tcPr>
            <w:tcW w:type="dxa" w:w="8307"/>
            <w:gridSpan w:val="3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F6F7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</w:rPr>
              <w:t>&lt;&lt;standards&gt;&gt;</w:t>
            </w:r>
          </w:p>
        </w:tc>
      </w:tr>
    </w:tbl>
    <w:p>
      <w:pPr>
        <w:spacing w:before="140" w:after="80"/>
        <w:keepNext/>
      </w:pPr>
      <w:r>
        <w:rPr>
          <w:rFonts w:ascii="Aptos" w:hAnsi="Aptos" w:eastAsia="Aptos"/>
          <w:b/>
          <w:color w:val="17365D"/>
          <w:sz w:val="26"/>
        </w:rPr>
        <w:t>1. Checklist Basis</w:t>
      </w:r>
    </w:p>
    <w:p>
      <w:pPr>
        <w:spacing w:before="0" w:after="60"/>
      </w:pPr>
      <w:r>
        <w:rPr>
          <w:b w:val="0"/>
        </w:rPr>
        <w:t>The checklist items below reflect the selected service interval and applicable standards. Recorded responses and readings represent the condition observed at the time of service.</w:t>
      </w:r>
    </w:p>
    <w:p>
      <w:pPr>
        <w:spacing w:before="100" w:after="40"/>
      </w:pPr>
      <w:r>
        <w:rPr>
          <w:rFonts w:ascii="Aptos" w:hAnsi="Aptos"/>
          <w:b/>
          <w:i w:val="0"/>
          <w:color w:val="17365D"/>
          <w:sz w:val="26"/>
        </w:rPr>
        <w:t>2. Service Checklist / Findings</w:t>
      </w:r>
    </w:p>
    <w:p>
      <w:pPr>
        <w:spacing w:before="50" w:after="30"/>
      </w:pPr>
      <w:r>
        <w:rPr>
          <w:rFonts w:ascii="Aptos" w:hAnsi="Aptos"/>
          <w:b/>
          <w:i w:val="0"/>
          <w:color w:val="17365D"/>
          <w:sz w:val="21"/>
        </w:rPr>
        <w:t>2.1 Detection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FA3B8"/>
          <w:left w:val="single" w:sz="5" w:space="0" w:color="8FA3B8"/>
          <w:bottom w:val="single" w:sz="5" w:space="0" w:color="8FA3B8"/>
          <w:right w:val="single" w:sz="5" w:space="0" w:color="8FA3B8"/>
          <w:insideH w:val="single" w:sz="5" w:space="0" w:color="8FA3B8"/>
          <w:insideV w:val="single" w:sz="5" w:space="0" w:color="8FA3B8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  <w:tblHeader w:val="true"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Inspection / Test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Result / Response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Reading / Recorded Value</w:t>
            </w:r>
          </w:p>
        </w:tc>
      </w:tr>
      <w:tr>
        <w:trPr>
          <w:trHeight w:val="490"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&lt;&lt;#detectionItems&gt;&gt;&lt;&lt;no&gt;&gt;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spacing w:before="0" w:after="0"/>
              <w:jc w:val="left"/>
            </w:pPr>
            <w:r>
              <w:rPr>
                <w:b w:val="0"/>
              </w:rPr>
              <w:t>&lt;&lt;question&gt;&gt;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&lt;&lt;answer&gt;&gt;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spacing w:before="0" w:after="0"/>
              <w:jc w:val="left"/>
            </w:pPr>
            <w:r>
              <w:rPr>
                <w:b w:val="0"/>
              </w:rPr>
              <w:t>&lt;&lt;extra&gt;&gt;&lt;&lt;/detectionItems&gt;&gt;</w:t>
            </w:r>
          </w:p>
        </w:tc>
      </w:tr>
    </w:tbl>
    <w:p>
      <w:pPr>
        <w:spacing w:before="50" w:after="30"/>
      </w:pPr>
      <w:r>
        <w:rPr>
          <w:rFonts w:ascii="Aptos" w:hAnsi="Aptos"/>
          <w:b/>
          <w:i w:val="0"/>
          <w:color w:val="17365D"/>
          <w:sz w:val="21"/>
        </w:rPr>
        <w:t>2.2 Suppression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FA3B8"/>
          <w:left w:val="single" w:sz="5" w:space="0" w:color="8FA3B8"/>
          <w:bottom w:val="single" w:sz="5" w:space="0" w:color="8FA3B8"/>
          <w:right w:val="single" w:sz="5" w:space="0" w:color="8FA3B8"/>
          <w:insideH w:val="single" w:sz="5" w:space="0" w:color="8FA3B8"/>
          <w:insideV w:val="single" w:sz="5" w:space="0" w:color="8FA3B8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  <w:tblHeader w:val="true"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Inspection / Test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Result / Response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Reading / Recorded Value</w:t>
            </w:r>
          </w:p>
        </w:tc>
      </w:tr>
      <w:tr>
        <w:trPr>
          <w:trHeight w:val="490"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&lt;&lt;#suppressionItems&gt;&gt;&lt;&lt;no&gt;&gt;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spacing w:before="0" w:after="0"/>
              <w:jc w:val="left"/>
            </w:pPr>
            <w:r>
              <w:rPr>
                <w:b w:val="0"/>
              </w:rPr>
              <w:t>&lt;&lt;question&gt;&gt;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&lt;&lt;answer&gt;&gt;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spacing w:before="0" w:after="0"/>
              <w:jc w:val="left"/>
            </w:pPr>
            <w:r>
              <w:rPr>
                <w:b w:val="0"/>
              </w:rPr>
              <w:t>&lt;&lt;extra&gt;&gt;&lt;&lt;/suppressionItems&gt;&gt;</w:t>
            </w:r>
          </w:p>
        </w:tc>
      </w:tr>
    </w:tbl>
    <w:p>
      <w:pPr>
        <w:spacing w:before="50" w:after="30"/>
      </w:pPr>
      <w:r>
        <w:rPr>
          <w:rFonts w:ascii="Aptos" w:hAnsi="Aptos"/>
          <w:b/>
          <w:i w:val="0"/>
          <w:color w:val="17365D"/>
          <w:sz w:val="21"/>
        </w:rPr>
        <w:t>2.3 General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FA3B8"/>
          <w:left w:val="single" w:sz="5" w:space="0" w:color="8FA3B8"/>
          <w:bottom w:val="single" w:sz="5" w:space="0" w:color="8FA3B8"/>
          <w:right w:val="single" w:sz="5" w:space="0" w:color="8FA3B8"/>
          <w:insideH w:val="single" w:sz="5" w:space="0" w:color="8FA3B8"/>
          <w:insideV w:val="single" w:sz="5" w:space="0" w:color="8FA3B8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tblHeader w:val="true"/>
        </w:trPr>
        <w:tc>
          <w:tcPr>
            <w:tcW w:type="dxa" w:w="6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Item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General Check</w:t>
            </w:r>
          </w:p>
        </w:tc>
        <w:tc>
          <w:tcPr>
            <w:tcW w:type="dxa" w:w="11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Response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Comment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Picture Evidence</w:t>
            </w:r>
          </w:p>
        </w:tc>
      </w:tr>
      <w:tr>
        <w:trPr>
          <w:trHeight w:val="1037"/>
        </w:trPr>
        <w:tc>
          <w:tcPr>
            <w:tcW w:type="dxa" w:w="6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&lt;&lt;#generalItems&gt;&gt;&lt;&lt;no&gt;&gt;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spacing w:before="0" w:after="0"/>
              <w:jc w:val="left"/>
            </w:pPr>
            <w:r>
              <w:rPr>
                <w:b w:val="0"/>
              </w:rPr>
              <w:t>&lt;&lt;question&gt;&gt;</w:t>
            </w:r>
          </w:p>
        </w:tc>
        <w:tc>
          <w:tcPr>
            <w:tcW w:type="dxa" w:w="11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&lt;&lt;answer&gt;&gt;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spacing w:before="0" w:after="0"/>
              <w:jc w:val="left"/>
            </w:pPr>
            <w:r>
              <w:rPr>
                <w:b w:val="0"/>
              </w:rPr>
              <w:t>&lt;&lt;comment&gt;&gt;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pPr>
              <w:spacing w:before="0" w:after="0"/>
              <w:jc w:val="center"/>
            </w:pPr>
            <w:r>
              <w:t>&lt;&lt;%generalPhoto&gt;&gt;</w:t>
            </w:r>
          </w:p>
          <w:p>
            <w:pPr>
              <w:jc w:val="center"/>
            </w:pPr>
            <w:r>
              <w:t>&lt;&lt;/generalItems&gt;&gt;</w:t>
            </w:r>
          </w:p>
        </w:tc>
      </w:tr>
    </w:tbl>
    <w:p>
      <w:pPr>
        <w:pageBreakBefore/>
        <w:spacing w:before="100" w:after="40"/>
      </w:pPr>
      <w:r>
        <w:rPr>
          <w:rFonts w:ascii="Aptos" w:hAnsi="Aptos"/>
          <w:b/>
          <w:i w:val="0"/>
          <w:color w:val="17365D"/>
          <w:sz w:val="26"/>
        </w:rPr>
        <w:t>3. Detailed Findings</w:t>
      </w:r>
    </w:p>
    <w:p>
      <w:pPr>
        <w:spacing w:before="30" w:after="60"/>
      </w:pPr>
      <w:r>
        <w:rPr>
          <w:b w:val="0"/>
        </w:rPr>
        <w:t>Only items with recorded defects are listed below. Each evidence image is presented with the related checklist item and the comment that applies to that picture.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Picture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Related Item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Comment</w:t>
            </w:r>
          </w:p>
        </w:tc>
      </w:tr>
      <w:tr>
        <w:trPr>
          <w:trHeight w:val="2381" w:hRule="atLeast"/>
        </w:trPr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spacing w:before="0" w:after="0"/>
              <w:jc w:val="center"/>
            </w:pPr>
            <w:r>
              <w:t>&lt;&lt;#detailedFindings&gt;&gt;</w:t>
            </w:r>
          </w:p>
          <w:p>
            <w:pPr>
              <w:jc w:val="center"/>
            </w:pPr>
            <w:r>
              <w:t>&lt;&lt;%findingPhoto&gt;&gt;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spacing w:before="0" w:after="0"/>
              <w:jc w:val="left"/>
            </w:pPr>
            <w:r>
              <w:rPr>
                <w:b w:val="0"/>
              </w:rPr>
              <w:t>&lt;&lt;relatedItem&gt;&gt;</w:t>
            </w:r>
          </w:p>
        </w:tc>
        <w:tc>
          <w:tcPr>
            <w:tcW w:type="dxa" w:w="35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pPr>
              <w:spacing w:before="0" w:after="0"/>
              <w:jc w:val="left"/>
            </w:pPr>
            <w:r>
              <w:t>&lt;&lt;comment&gt;&gt;</w:t>
            </w:r>
          </w:p>
          <w:p>
            <w:pPr>
              <w:jc w:val="left"/>
            </w:pPr>
            <w:r>
              <w:t>&lt;&lt;/detailedFindings&gt;&gt;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i w:val="0"/>
          <w:color w:val="17365D"/>
          <w:sz w:val="26"/>
        </w:rPr>
        <w:t>4. Technician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FA3B8"/>
          <w:left w:val="single" w:sz="5" w:space="0" w:color="8FA3B8"/>
          <w:bottom w:val="single" w:sz="5" w:space="0" w:color="8FA3B8"/>
          <w:right w:val="single" w:sz="5" w:space="0" w:color="8FA3B8"/>
          <w:insideH w:val="single" w:sz="5" w:space="0" w:color="8FA3B8"/>
          <w:insideV w:val="single" w:sz="5" w:space="0" w:color="8FA3B8"/>
        </w:tblBorders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Technician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Date Completed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Signature</w:t>
            </w:r>
          </w:p>
        </w:tc>
      </w:tr>
      <w:tr>
        <w:trPr>
          <w:trHeight w:val="634"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pPr>
              <w:spacing w:before="0" w:after="0"/>
              <w:jc w:val="left"/>
            </w:pPr>
            <w:r>
              <w:rPr>
                <w:b w:val="0"/>
              </w:rPr>
              <w:t>&lt;&lt;technician&gt;&gt;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&lt;&lt;createdAt&gt;&gt;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pPr>
              <w:spacing w:before="0" w:after="0"/>
              <w:jc w:val="center"/>
            </w:pPr>
            <w:r>
              <w:rPr>
                <w:b w:val="0"/>
              </w:rPr>
              <w:t>&lt;&lt;%signature&gt;&gt;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907" w:right="1022" w:bottom="907" w:left="102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6336"/>
          <w:tcBorders>
            <w:top w:val="nil" w:sz="0" w:color="FFFFFF"/>
            <w:left w:val="nil" w:sz="0" w:color="FFFFFF"/>
            <w:bottom w:val="nil" w:sz="0" w:color="FFFFFF"/>
            <w:right w:val="nil" w:sz="0" w:color="FFFFFF"/>
          </w:tcBorders>
        </w:tcPr>
        <w:p>
          <w:pPr>
            <w:spacing w:before="0" w:after="0"/>
          </w:pPr>
          <w:r>
            <w:t>Maintenix | Service Checklist Report</w:t>
          </w:r>
        </w:p>
      </w:tc>
      <w:tc>
        <w:tcPr>
          <w:tcW w:type="dxa" w:w="3528"/>
          <w:tcBorders>
            <w:top w:val="nil" w:sz="0" w:color="FFFFFF"/>
            <w:left w:val="nil" w:sz="0" w:color="FFFFFF"/>
            <w:bottom w:val="nil" w:sz="0" w:color="FFFFFF"/>
            <w:right w:val="nil" w:sz="0" w:color="FFFFFF"/>
          </w:tcBorders>
        </w:tcPr>
        <w:p>
          <w:pPr>
            <w:spacing w:before="0" w:after="0"/>
            <w:jc w:val="right"/>
          </w:pPr>
          <w:r>
            <w:rPr>
              <w:rFonts w:ascii="Aptos" w:hAnsi="Aptos" w:eastAsia="Aptos"/>
              <w:color w:val="6B7280"/>
              <w:sz w:val="16"/>
            </w:rPr>
            <w:t xml:space="preserve">Page </w:t>
          </w:r>
          <w:r>
            <w:rPr>
              <w:rFonts w:ascii="Aptos" w:hAnsi="Aptos" w:eastAsia="Aptos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Aptos" w:hAnsi="Aptos" w:eastAsia="Aptos"/>
              <w:color w:val="6B7280"/>
              <w:sz w:val="16"/>
            </w:rPr>
            <w:t xml:space="preserve"> of </w:t>
          </w:r>
          <w:r>
            <w:rPr>
              <w:rFonts w:ascii="Aptos" w:hAnsi="Aptos" w:eastAsia="Aptos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Maintenix Servicing Checklist Template Review v4</dc:title>
  <dc:subject>Generic dynamic servicing checklist template aligned to current Maintenix servicing workflow</dc:subject>
  <dc:creator>Collaborative Risk Applications</dc:creator>
  <cp:keywords/>
  <dc:description>Review template; no client/site data is fixed.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