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48"/>
          <w:szCs w:val="48"/>
        </w:rPr>
        <w:t xml:space="preserve">Customer Churn Analysis</w:t>
      </w:r>
    </w:p>
    <w:p>
      <w:pPr>
        <w:spacing w:after="300"/>
      </w:pPr>
      <w:r>
        <w:rPr>
          <w:i/>
          <w:iCs/>
          <w:color w:val="555555"/>
          <w:sz w:val="28"/>
          <w:szCs w:val="28"/>
        </w:rPr>
        <w:t xml:space="preserve">Technical Report</w:t>
      </w:r>
    </w:p>
    <w:p>
      <w:pPr>
        <w:spacing w:after="60"/>
      </w:pPr>
      <w:r>
        <w:rPr>
          <w:sz w:val="21"/>
          <w:szCs w:val="21"/>
        </w:rPr>
        <w:t xml:space="preserve">Prepared by: Kartik Singh</w:t>
      </w:r>
    </w:p>
    <w:p>
      <w:pPr>
        <w:spacing w:after="60"/>
      </w:pPr>
      <w:r>
        <w:rPr>
          <w:sz w:val="21"/>
          <w:szCs w:val="21"/>
        </w:rPr>
        <w:t xml:space="preserve">B.Tech IT (AI &amp; Robotics), MITS Gwalior</w:t>
      </w:r>
    </w:p>
    <w:p>
      <w:pPr>
        <w:spacing w:after="400"/>
      </w:pPr>
      <w:r>
        <w:rPr>
          <w:sz w:val="21"/>
          <w:szCs w:val="21"/>
        </w:rPr>
        <w:t xml:space="preserve">Capstone Project — Week 8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120"/>
      </w:pPr>
      <w:r>
        <w:rPr>
          <w:sz w:val="21"/>
          <w:szCs w:val="21"/>
        </w:rPr>
        <w:t xml:space="preserve">1. Introduction &amp; Business Problem</w:t>
      </w:r>
    </w:p>
    <w:p>
      <w:pPr>
        <w:spacing w:after="120"/>
      </w:pPr>
      <w:r>
        <w:rPr>
          <w:sz w:val="21"/>
          <w:szCs w:val="21"/>
        </w:rPr>
        <w:t xml:space="preserve">2. Dataset &amp; Methodology</w:t>
      </w:r>
    </w:p>
    <w:p>
      <w:pPr>
        <w:spacing w:after="120"/>
      </w:pPr>
      <w:r>
        <w:rPr>
          <w:sz w:val="21"/>
          <w:szCs w:val="21"/>
        </w:rPr>
        <w:t xml:space="preserve">3. Data Cleaning &amp; Quality</w:t>
      </w:r>
    </w:p>
    <w:p>
      <w:pPr>
        <w:spacing w:after="120"/>
      </w:pPr>
      <w:r>
        <w:rPr>
          <w:sz w:val="21"/>
          <w:szCs w:val="21"/>
        </w:rPr>
        <w:t xml:space="preserve">4. Exploratory Data Analysis</w:t>
      </w:r>
    </w:p>
    <w:p>
      <w:pPr>
        <w:spacing w:after="120"/>
      </w:pPr>
      <w:r>
        <w:rPr>
          <w:sz w:val="21"/>
          <w:szCs w:val="21"/>
        </w:rPr>
        <w:t xml:space="preserve">5. Statistical Hypothesis Testing</w:t>
      </w:r>
    </w:p>
    <w:p>
      <w:pPr>
        <w:spacing w:after="120"/>
      </w:pPr>
      <w:r>
        <w:rPr>
          <w:sz w:val="21"/>
          <w:szCs w:val="21"/>
        </w:rPr>
        <w:t xml:space="preserve">6. Predictive Modeling</w:t>
      </w:r>
    </w:p>
    <w:p>
      <w:pPr>
        <w:spacing w:after="120"/>
      </w:pPr>
      <w:r>
        <w:rPr>
          <w:sz w:val="21"/>
          <w:szCs w:val="21"/>
        </w:rPr>
        <w:t xml:space="preserve">7. Findings &amp; Business Recommendations</w:t>
      </w:r>
    </w:p>
    <w:p>
      <w:pPr>
        <w:spacing w:after="120"/>
      </w:pPr>
      <w:r>
        <w:rPr>
          <w:sz w:val="21"/>
          <w:szCs w:val="21"/>
        </w:rPr>
        <w:t xml:space="preserve">8. Implementation Plan &amp; Conclusion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 &amp; Business Problem</w:t>
      </w:r>
    </w:p>
    <w:p>
      <w:pPr>
        <w:spacing w:after="120"/>
      </w:pPr>
      <w:r>
        <w:rPr>
          <w:sz w:val="21"/>
          <w:szCs w:val="21"/>
        </w:rPr>
        <w:t xml:space="preserve">Customer churn — the rate at which customers stop doing business with a company — is one of the most direct threats to recurring revenue in subscription-based businesses such as telecom. Acquiring a new customer typically costs several times more than retaining an existing one, making churn reduction a high-leverage lever for profitability.</w:t>
      </w:r>
    </w:p>
    <w:p>
      <w:pPr>
        <w:spacing w:after="120"/>
      </w:pPr>
      <w:r>
        <w:rPr>
          <w:sz w:val="21"/>
          <w:szCs w:val="21"/>
        </w:rPr>
        <w:t xml:space="preserve">This project analyzes a 500-customer telecom dataset to answer three core business questions: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Which customer segments and behaviors are most associated with churn?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Are these relationships statistically significant, or could they be due to chance?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 we build a reliable model to flag at-risk customers before they churn?</w:t>
      </w:r>
    </w:p>
    <w:p>
      <w:pPr>
        <w:spacing w:after="120"/>
      </w:pPr>
      <w:r>
        <w:rPr>
          <w:sz w:val="21"/>
          <w:szCs w:val="21"/>
        </w:rPr>
        <w:t xml:space="preserve">Success is measured by: (a) identifying statistically validated churn drivers, (b) building a model with strong discriminative power (ROC-AUC), and (c) translating findings into a concrete, actionable retention plan.</w:t>
      </w:r>
    </w:p>
    <w:p>
      <w:pPr>
        <w:pStyle w:val="Heading1"/>
        <w:spacing w:after="150" w:before="300"/>
      </w:pPr>
      <w:r>
        <w:t xml:space="preserve">2. Dataset &amp; Methodology</w:t>
      </w:r>
    </w:p>
    <w:p>
      <w:pPr>
        <w:spacing w:after="120"/>
      </w:pPr>
      <w:r>
        <w:rPr>
          <w:sz w:val="21"/>
          <w:szCs w:val="21"/>
        </w:rPr>
        <w:t xml:space="preserve">The dataset contains 500 customer records with 9 original fields: CustomerID, Tenure (months), MonthlyCharges, TotalCharges, Contract type, PaymentMethod, PaperlessBilling, SeniorCitizen flag, and the target variable Churn (0/1).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CADC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500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Total Records</w:t>
            </w:r>
          </w:p>
        </w:tc>
        <w:tc>
          <w:tcPr>
            <w:tcW w:type="pct" w:w="25%"/>
            <w:shd w:fill="CADC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9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Features</w:t>
            </w:r>
          </w:p>
        </w:tc>
        <w:tc>
          <w:tcPr>
            <w:tcW w:type="pct" w:w="25%"/>
            <w:shd w:fill="CADC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10.6%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Churn Rate</w:t>
            </w:r>
          </w:p>
        </w:tc>
        <w:tc>
          <w:tcPr>
            <w:tcW w:type="pct" w:w="25%"/>
            <w:shd w:fill="CADC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Missing Values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1"/>
          <w:szCs w:val="21"/>
        </w:rPr>
        <w:t xml:space="preserve">Methodology followed a standard end-to-end analytics workflow: data cleaning and quality validation, exploratory data analysis (EDA), statistical hypothesis testing, and predictive modeling with two complementary algorithms (Logistic Regression and Random Forest) to cross-validate findings.</w:t>
      </w:r>
    </w:p>
    <w:p>
      <w:pPr>
        <w:pStyle w:val="Heading1"/>
        <w:spacing w:after="150" w:before="300"/>
      </w:pPr>
      <w:r>
        <w:t xml:space="preserve">3. Data Cleaning &amp; Quality</w:t>
      </w:r>
    </w:p>
    <w:p>
      <w:pPr>
        <w:spacing w:after="120"/>
      </w:pPr>
      <w:r>
        <w:rPr>
          <w:sz w:val="21"/>
          <w:szCs w:val="21"/>
        </w:rPr>
        <w:t xml:space="preserve">The raw dataset was assessed for missing values, duplicates, invalid ranges, and inconsistent categories. Results: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missing values across any column.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duplicate rows or duplicate CustomerIDs.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numeric fields (Tenure, MonthlyCharges, TotalCharges) fell within sane, non-negative ranges.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Categorical fields (Contract, PaymentMethod) had clean, consistent labels.</w:t>
      </w:r>
    </w:p>
    <w:p>
      <w:pPr>
        <w:spacing w:after="120"/>
      </w:pPr>
      <w:r>
        <w:rPr>
          <w:sz w:val="21"/>
          <w:szCs w:val="21"/>
        </w:rPr>
        <w:t xml:space="preserve">Two derived features were engineered to support analysis: PaperlessBilling_Flag (binary encoding) and AvgMonthlySpend (TotalCharges / Tenure), which normalizes spend across customers with different tenures.</w:t>
      </w:r>
    </w:p>
    <w:p>
      <w:pPr>
        <w:pStyle w:val="Heading1"/>
        <w:spacing w:after="150" w:before="300"/>
      </w:pPr>
      <w:r>
        <w:t xml:space="preserve">4. Exploratory Data Analysis</w:t>
      </w:r>
    </w:p>
    <w:p>
      <w:pPr>
        <w:pStyle w:val="Heading2"/>
        <w:spacing w:after="100" w:before="200"/>
      </w:pPr>
      <w:r>
        <w:t xml:space="preserve">4.1 Churn Distribution</w:t>
      </w:r>
    </w:p>
    <w:p>
      <w:pPr>
        <w:spacing w:after="60" w:before="100"/>
        <w:jc w:val="center"/>
      </w:pPr>
      <w:r>
        <w:drawing>
          <wp:inline distT="0" distB="0" distL="0" distR="0">
            <wp:extent cx="2857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1: Class distribution — churn is a minority class (10.6%), motivating balanced-class modeling.</w:t>
      </w:r>
    </w:p>
    <w:p>
      <w:pPr>
        <w:pStyle w:val="Heading2"/>
        <w:spacing w:after="100" w:before="200"/>
      </w:pPr>
      <w:r>
        <w:t xml:space="preserve">4.2 Numeric Feature Distributions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2: Distributions of Tenure, MonthlyCharges, TotalCharges, and AvgMonthlySpend.</w:t>
      </w:r>
    </w:p>
    <w:p>
      <w:pPr>
        <w:pStyle w:val="Heading2"/>
        <w:spacing w:after="100" w:before="200"/>
      </w:pPr>
      <w:r>
        <w:t xml:space="preserve">4.3 Churn Rate by Segment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3: Churn rate by contract type, payment method, and senior-citizen status.</w:t>
      </w:r>
    </w:p>
    <w:p>
      <w:pPr>
        <w:spacing w:after="120"/>
      </w:pPr>
      <w:r>
        <w:rPr>
          <w:sz w:val="21"/>
          <w:szCs w:val="21"/>
        </w:rPr>
        <w:t xml:space="preserve">Month-to-month customers churn at 20.6%, versus 6.9% for two-year and 4.3% for one-year contracts — the largest gap of any segment examined.</w:t>
      </w:r>
    </w:p>
    <w:p>
      <w:r>
        <w:br w:type="page"/>
      </w:r>
    </w:p>
    <w:p>
      <w:pPr>
        <w:pStyle w:val="Heading2"/>
        <w:spacing w:after="100" w:before="200"/>
      </w:pPr>
      <w:r>
        <w:t xml:space="preserve">4.4 Numeric Features vs Churn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4: Tenure, MonthlyCharges, and AvgMonthlySpend compared between churned and retained customers.</w:t>
      </w:r>
    </w:p>
    <w:p>
      <w:pPr>
        <w:pStyle w:val="Heading2"/>
        <w:spacing w:after="100" w:before="200"/>
      </w:pPr>
      <w:r>
        <w:t xml:space="preserve">4.5 Correlation Analysis</w:t>
      </w:r>
    </w:p>
    <w:p>
      <w:pPr>
        <w:spacing w:after="60" w:before="100"/>
        <w:jc w:val="center"/>
      </w:pPr>
      <w:r>
        <w:drawing>
          <wp:inline distT="0" distB="0" distL="0" distR="0">
            <wp:extent cx="333375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5: Correlation heatmap across numeric features and the churn target.</w:t>
      </w:r>
    </w:p>
    <w:p>
      <w:pPr>
        <w:pStyle w:val="Heading2"/>
        <w:spacing w:after="100" w:before="200"/>
      </w:pPr>
      <w:r>
        <w:t xml:space="preserve">4.6 Tenure vs Monthly Charges</w:t>
      </w:r>
    </w:p>
    <w:p>
      <w:pPr>
        <w:spacing w:after="60" w:before="100"/>
        <w:jc w:val="center"/>
      </w:pPr>
      <w:r>
        <w:drawing>
          <wp:inline distT="0" distB="0" distL="0" distR="0">
            <wp:extent cx="333375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6: Bivariate view — churned customers (red) cluster in the low-tenure region regardless of charge level.</w:t>
      </w:r>
    </w:p>
    <w:p>
      <w:pPr>
        <w:pStyle w:val="Heading1"/>
        <w:spacing w:after="150" w:before="300"/>
      </w:pPr>
      <w:r>
        <w:t xml:space="preserve">5. Statistical Hypothesis Testing</w:t>
      </w:r>
    </w:p>
    <w:p>
      <w:pPr>
        <w:spacing w:after="120"/>
      </w:pPr>
      <w:r>
        <w:rPr>
          <w:sz w:val="21"/>
          <w:szCs w:val="21"/>
        </w:rPr>
        <w:t xml:space="preserve">Three hypotheses were tested to confirm whether patterns observed in EDA are statistically significant and not due to random variation: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H1: Tenure differs by churn 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Welch's t-test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Significant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&lt; 0.0001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H2: Contract type &amp; churn are dependent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Chi-square 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Significant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&lt; 0.0001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H3: Monthly charges differ by churn 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Welch's t-test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Significant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= 0.010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method &amp; churn (exploratory)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Chi-square 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significant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 = 0.144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1"/>
          <w:szCs w:val="21"/>
        </w:rPr>
        <w:t xml:space="preserve">Churned customers average 6.0 months tenure vs. 40.2 months for retained customers — a stark, statistically confirmed difference. Churned customers also pay ₹129.8/month on average vs. ₹111.7 for retained customers, indicating mild price sensitivity at higher charge tiers.</w:t>
      </w:r>
    </w:p>
    <w:p>
      <w:pPr>
        <w:pStyle w:val="Heading1"/>
        <w:spacing w:after="150" w:before="300"/>
      </w:pPr>
      <w:r>
        <w:t xml:space="preserve">6. Predictive Modeling</w:t>
      </w:r>
    </w:p>
    <w:p>
      <w:pPr>
        <w:spacing w:after="120"/>
      </w:pPr>
      <w:r>
        <w:rPr>
          <w:sz w:val="21"/>
          <w:szCs w:val="21"/>
        </w:rPr>
        <w:t xml:space="preserve">Two models were trained on an 75/25 train-test split with stratified sampling to preserve churn class ratio, using class-balanced weighting to address the 10.6% minority class: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 (Churn)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94%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0.987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98%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92%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0.992</w:t>
            </w:r>
          </w:p>
        </w:tc>
      </w:tr>
    </w:tbl>
    <w:p>
      <w:pPr>
        <w:spacing w:after="200"/>
      </w:pPr>
    </w:p>
    <w:p>
      <w:pPr>
        <w:spacing w:after="60" w:before="100"/>
        <w:jc w:val="center"/>
      </w:pPr>
      <w:r>
        <w:drawing>
          <wp:inline distT="0" distB="0" distL="0" distR="0">
            <wp:extent cx="2857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7: ROC curve for the Logistic Regression model (AUC = 0.987).</w:t>
      </w:r>
    </w:p>
    <w:p>
      <w:pPr>
        <w:spacing w:after="60" w:before="100"/>
        <w:jc w:val="center"/>
      </w:pPr>
      <w:r>
        <w:drawing>
          <wp:inline distT="0" distB="0" distL="0" distR="0">
            <wp:extent cx="2667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8: Confusion matrix — Logistic Regression correctly identifies all churned customers in the test set (100% recall), trading off some false positives.</w:t>
      </w:r>
    </w:p>
    <w:p>
      <w:r>
        <w:br w:type="page"/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9: Random Forest feature importance — Tenure, MonthlyCharges, and Contract (Month-to-month) dominate.</w:t>
      </w:r>
    </w:p>
    <w:p>
      <w:pPr>
        <w:spacing w:after="120"/>
      </w:pPr>
      <w:r>
        <w:rPr>
          <w:sz w:val="21"/>
          <w:szCs w:val="21"/>
        </w:rPr>
        <w:t xml:space="preserve">Both models independently converge on the same top predictors — Tenure, MonthlyCharges, and Contract type — reinforcing confidence that these are genuine business drivers rather than modeling artifacts.</w:t>
      </w:r>
    </w:p>
    <w:p>
      <w:pPr>
        <w:pStyle w:val="Heading1"/>
        <w:spacing w:after="150" w:before="300"/>
      </w:pPr>
      <w:r>
        <w:t xml:space="preserve">7. Findings &amp; Business Recommendations</w:t>
      </w:r>
    </w:p>
    <w:p>
      <w:pPr>
        <w:pStyle w:val="Heading2"/>
        <w:spacing w:after="100" w:before="200"/>
      </w:pPr>
      <w:r>
        <w:t xml:space="preserve">7.1 Key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type is the strongest churn driver: month-to-month customers churn ~5x more than annual-contract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Tenure is a powerful early-warning signal: the first 6 months are the highest-risk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Monthly charges show a modest but statistically significant link to churn.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Payment method and senior-citizen status are not meaningful churn predictors in this dataset.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Random Forest model can flag at-risk customers with 99.2% ROC-AUC — strong enough for production use in a retention workflow.</w:t>
      </w:r>
    </w:p>
    <w:p>
      <w:pPr>
        <w:pStyle w:val="Heading2"/>
        <w:spacing w:after="100" w:before="200"/>
      </w:pPr>
      <w:r>
        <w:t xml:space="preserve">7.2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Contract conversion incentive: offer a discount (e.g., 1 month free) to convert month-to-month customers to annual contracts, targeted at customers in months 1–6.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Onboarding retention program: proactive check-ins and engagement campaigns during the first 6 months, when churn risk is highest.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Pricing review: audit high-monthly-charge plans for added value or flexible tiers to reduce price-driven attrition.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Operationalize the model: run the Random Forest scorer monthly against the active customer base and route high-risk accounts to account managers.</w:t>
      </w:r>
    </w:p>
    <w:p>
      <w:pPr>
        <w:pStyle w:val="Heading1"/>
        <w:spacing w:after="150" w:before="300"/>
      </w:pPr>
      <w:r>
        <w:t xml:space="preserve">8. Implementation Plan &amp; Conclusion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monthly churn-scoring model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Data/Analytics team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Weeks 1-2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Launch contract-conversion offer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Weeks 2-4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90-day onboarding retention track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Success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Weeks 3-6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 tier review for high-charge segment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Product/Pricing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Weeks 4-8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Measure churn-rate impact vs. baseline (10.6%)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Ongoing, quarterly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1"/>
          <w:szCs w:val="21"/>
        </w:rPr>
        <w:t xml:space="preserve">This analysis confirms that churn in this customer base is concentrated, predictable, and actionable: it is driven overwhelmingly by contract flexibility and early-tenure disengagement, not by demographic or payment factors. Converting even a quarter of month-to-month customers to annual contracts, combined with an early-tenure retention program, could meaningfully reduce the current 10.6% churn rate and protect recurring revenue.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74a3ed09d75129506c91718690b5615c5f1bfa.png"/><Relationship Id="rId8" Type="http://schemas.openxmlformats.org/officeDocument/2006/relationships/image" Target="media/b33a8980d6fb5e68a54a7a0403f0d12659820ea9.png"/><Relationship Id="rId9" Type="http://schemas.openxmlformats.org/officeDocument/2006/relationships/image" Target="media/bab90b548ad0e69e2176044c7911932c44fda91f.png"/><Relationship Id="rId10" Type="http://schemas.openxmlformats.org/officeDocument/2006/relationships/image" Target="media/8bb482fa2d801582d2f99a2280c39c5dc53375fa.png"/><Relationship Id="rId11" Type="http://schemas.openxmlformats.org/officeDocument/2006/relationships/image" Target="media/6d03b4b06e3a0e8cb9d217f67fe0adf4843a4609.png"/><Relationship Id="rId12" Type="http://schemas.openxmlformats.org/officeDocument/2006/relationships/image" Target="media/b63b3695c43018b53aa2551d3d4449dbd2877e8a.png"/><Relationship Id="rId13" Type="http://schemas.openxmlformats.org/officeDocument/2006/relationships/image" Target="media/fb13e3c010df7dec7c07841fad21b7cb6eaaea58.png"/><Relationship Id="rId14" Type="http://schemas.openxmlformats.org/officeDocument/2006/relationships/image" Target="media/19f716b8e8ea988e154e113b6cddaa81aca9b1f5.png"/><Relationship Id="rId15" Type="http://schemas.openxmlformats.org/officeDocument/2006/relationships/image" Target="media/e37662bca1ab4f6744a69c9b1939dce90e0a40d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2026-08-02T16:43:24.104Z</dcterms:created>
  <dcterms:modified xsi:type="dcterms:W3CDTF">2026-08-02T16:43:24.105Z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