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rzplufbw2fpl" w:id="0"/>
      <w:bookmarkEnd w:id="0"/>
      <w:r w:rsidDel="00000000" w:rsidR="00000000" w:rsidRPr="00000000">
        <w:rPr>
          <w:rtl w:val="0"/>
        </w:rPr>
        <w:t xml:space="preserve">Official Technical and Hermes Reference Basis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bg6hmlk142r7" w:id="1"/>
      <w:bookmarkEnd w:id="1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guide records the official primary documentation used to validate the finalized recommendations. Re-check current documentation before major upgrades because framework and Hermes behavior can change.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bymylgs9b55j" w:id="2"/>
      <w:bookmarkEnd w:id="2"/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Official documentation: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https://fastapi.tiangolo.com/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Relevant decisions: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Python API framework.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Type-driven request and response validation.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Pydantic integration.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OpenAPI generation.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Async and synchronous endpoint support.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Dependency injection.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Production API suitability.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Feature reference: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https://fastapi.tiangolo.com/features/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Concurrency reference: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https://fastapi.tiangolo.com/async/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bookmarkStart w:colFirst="0" w:colLast="0" w:name="_h8hxzltf6pdx" w:id="3"/>
      <w:bookmarkEnd w:id="3"/>
      <w:r w:rsidDel="00000000" w:rsidR="00000000" w:rsidRPr="00000000">
        <w:rPr>
          <w:rtl w:val="0"/>
        </w:rPr>
        <w:t xml:space="preserve">Django Comparison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Official overview: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https://docs.djangoproject.com/en/5.2/intro/overview/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Relevant comparison: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Django provides ORM, migrations, templates, authentication, and an administrative interface. It remains a valid alternative for an admin-first application. CTI-Hermes selects FastAPI because the application is an API-first intelligence engine and already benefits from Pydantic domain contracts.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bookmarkStart w:colFirst="0" w:colLast="0" w:name="_8csfc08oc0zc" w:id="4"/>
      <w:bookmarkEnd w:id="4"/>
      <w:r w:rsidDel="00000000" w:rsidR="00000000" w:rsidRPr="00000000">
        <w:rPr>
          <w:rtl w:val="0"/>
        </w:rPr>
        <w:t xml:space="preserve">TypeScript Alternative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NestJS: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https://docs.nestjs.com/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Next.js: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https://nextjs.org/docs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Relevant comparison: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NestJS and Next.js are suitable for a TypeScript-first backend and React frontend. CTI-Hermes does not select them initially because Python better aligns with CTI processing and detection tooling, and a separate frontend would add operational complexity before it is justified.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/>
      </w:pPr>
      <w:bookmarkStart w:colFirst="0" w:colLast="0" w:name="_ulpiyeknqun1" w:id="5"/>
      <w:bookmarkEnd w:id="5"/>
      <w:r w:rsidDel="00000000" w:rsidR="00000000" w:rsidRPr="00000000">
        <w:rPr>
          <w:rtl w:val="0"/>
        </w:rPr>
        <w:t xml:space="preserve">SQLAlchemy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Official documentation: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https://docs.sqlalchemy.org/en/20/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Relevant decisions: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SQLAlchemy 2 typed ORM.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PostgreSQL persistence.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Explicit repository and transaction boundaries.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Alembic for migrations.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/>
      </w:pPr>
      <w:bookmarkStart w:colFirst="0" w:colLast="0" w:name="_txnt5on4bf6" w:id="6"/>
      <w:bookmarkEnd w:id="6"/>
      <w:r w:rsidDel="00000000" w:rsidR="00000000" w:rsidRPr="00000000">
        <w:rPr>
          <w:rtl w:val="0"/>
        </w:rPr>
        <w:t xml:space="preserve">Celery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Official periodic tasks: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https://docs.celeryq.dev/en/stable/userguide/periodic-tasks.html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Relevant decision: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Celery and Redis are deferred. Initial daily scheduling uses a dedicated deterministic scheduler process and PostgreSQL locking. Add a task queue only after measured concurrency, retry, and distribution needs justify it.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/>
      </w:pPr>
      <w:bookmarkStart w:colFirst="0" w:colLast="0" w:name="_um2c3v3p6b3e" w:id="7"/>
      <w:bookmarkEnd w:id="7"/>
      <w:r w:rsidDel="00000000" w:rsidR="00000000" w:rsidRPr="00000000">
        <w:rPr>
          <w:rtl w:val="0"/>
        </w:rPr>
        <w:t xml:space="preserve">Sigma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Official getting started: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https://sigmahq.io/docs/guide/getting-started.html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Official resources: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https://sigmahq.io/resources/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Relevant decisions: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Sigma generation must be parsed and converted through supported official tooling.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pySigma and sigma-cli align directly with Python.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Generated queries require explicit processing-pipeline and telemetry assumptions.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rPr/>
      </w:pPr>
      <w:bookmarkStart w:colFirst="0" w:colLast="0" w:name="_kyh55tbufyv9" w:id="8"/>
      <w:bookmarkEnd w:id="8"/>
      <w:r w:rsidDel="00000000" w:rsidR="00000000" w:rsidRPr="00000000">
        <w:rPr>
          <w:rtl w:val="0"/>
        </w:rPr>
        <w:t xml:space="preserve">YARA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Official Python integration: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https://yara.readthedocs.io/en/stable/yarapython.html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Relevant decisions: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Generate YARA only from suitable file evidence.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Compile rules through yara-python before publication.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Preserve validation result and artifact hash.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rPr/>
      </w:pPr>
      <w:bookmarkStart w:colFirst="0" w:colLast="0" w:name="_edtci171fgux" w:id="9"/>
      <w:bookmarkEnd w:id="9"/>
      <w:r w:rsidDel="00000000" w:rsidR="00000000" w:rsidRPr="00000000">
        <w:rPr>
          <w:rtl w:val="0"/>
        </w:rPr>
        <w:t xml:space="preserve">Hermes Profiles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Official profile documentation: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https://hermes-agent.nousresearch.com/docs/user-guide/profiles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Relevant decisions: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Separate analyst and cti-maintainer profiles.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Separate HERMES_HOME, config, .env, SOUL, memory, skills, sessions, cron jobs, logs, and gateway state.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Explicit terminal.cwd.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Profile separation does not replace operating-system permission controls.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profile-specific tool home behavior when separate CLI credentials are required.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rPr/>
      </w:pPr>
      <w:bookmarkStart w:colFirst="0" w:colLast="0" w:name="_102mnrguyrp1" w:id="10"/>
      <w:bookmarkEnd w:id="10"/>
      <w:r w:rsidDel="00000000" w:rsidR="00000000" w:rsidRPr="00000000">
        <w:rPr>
          <w:rtl w:val="0"/>
        </w:rPr>
        <w:t xml:space="preserve">Hermes Scheduled Tasks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Official cron documentation: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https://hermes-agent.nousresearch.com/docs/user-guide/features/cron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Cron internals: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https://hermes-agent.nousresearch.com/docs/developer-guide/cron-internals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Relevant decisions: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Scheduled agent runs begin in fresh sessions.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Cron prompts must be self-contained.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Attach reusable skills instead of duplicating their procedures.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absolute workdir.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no-agent script jobs for watchdogs.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wakeAgent false to avoid LLM calls when nothing changed.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Pin model and provider.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SILENT for successful no-action analyst runs.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not manually patch jobs.json when the supported cron tool is available.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rPr/>
      </w:pPr>
      <w:bookmarkStart w:colFirst="0" w:colLast="0" w:name="_uew81m71juer" w:id="11"/>
      <w:bookmarkEnd w:id="11"/>
      <w:r w:rsidDel="00000000" w:rsidR="00000000" w:rsidRPr="00000000">
        <w:rPr>
          <w:rtl w:val="0"/>
        </w:rPr>
        <w:t xml:space="preserve">Hermes Persistent Memory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Official memory documentation: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https://hermes-agent.nousresearch.com/docs/user-guide/features/memory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Relevant decisions: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Built-in memory is intentionally bounded.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Memory contains stable environment facts and preferences.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Intelligence history and cross-run analytical state belong in PostgreSQL.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Two agent processes must not share one Hermes home.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rPr/>
      </w:pPr>
      <w:bookmarkStart w:colFirst="0" w:colLast="0" w:name="_50969oh0kqb9" w:id="12"/>
      <w:bookmarkEnd w:id="12"/>
      <w:r w:rsidDel="00000000" w:rsidR="00000000" w:rsidRPr="00000000">
        <w:rPr>
          <w:rtl w:val="0"/>
        </w:rPr>
        <w:t xml:space="preserve">Hermes Watchers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Official watcher skill documentation: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https://hermes-agent.nousresearch.com/docs/user-guide/skills/optional/devops/devops-watchers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Relevant concepts: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Watermark-based deduplication.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First-run baselines.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Silent no-change behavior.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Bounded state.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Script prechecks before LLM analysis.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CTI-Hermes implements its authoritative watermark, idempotency, and run state in PostgreSQL. Hermes watcher patterns remain useful for monitoring and alert triggers.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rPr/>
      </w:pPr>
      <w:bookmarkStart w:colFirst="0" w:colLast="0" w:name="_iv5pfa4mtbyv" w:id="13"/>
      <w:bookmarkEnd w:id="13"/>
      <w:r w:rsidDel="00000000" w:rsidR="00000000" w:rsidRPr="00000000">
        <w:rPr>
          <w:rtl w:val="0"/>
        </w:rPr>
        <w:t xml:space="preserve">Source Review Rule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When a future LLM recommends replacing a finalized technology: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Require a specific problem and measured evidence.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Read current official documentation.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Compare migration cost and security impact.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 alternatives.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Provide rollback.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Obtain explicit approval.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