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uk8z1ki6klm" w:id="0"/>
      <w:bookmarkEnd w:id="0"/>
      <w:r w:rsidDel="00000000" w:rsidR="00000000" w:rsidRPr="00000000">
        <w:rPr>
          <w:rtl w:val="0"/>
        </w:rPr>
        <w:t xml:space="preserve">LLM Implementation Prompts: Phases 3-5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47ezv46kxnl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Append one prompt from this document to the Master Implementation Contract. Confirm all prerequisite phases have passed.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t1zv0sn2bav" w:id="2"/>
      <w:bookmarkEnd w:id="2"/>
      <w:r w:rsidDel="00000000" w:rsidR="00000000" w:rsidRPr="00000000">
        <w:rPr>
          <w:rtl w:val="0"/>
        </w:rPr>
        <w:t xml:space="preserve">Phase 3 Prompt: Deterministic IOC and Entity Extraction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Implement Phase 3 only: Deterministic IOC and Entity Extraction.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Replace the current regex-only scaffold with deterministic, validated, evidence-preserving extraction.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Required deliverables: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extraction pipeline that accepts a typed source document and returns typed observations.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Refang hxxp, hxxps, bracketed dots, parenthesized dots, bracketed colons, and common safe-display variants without mutating unrelated text.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IPv4, IPv6, domain, URL, MD5, SHA-1, SHA-256, CVE ID, Windows registry path, Windows or POSIX file path, and email only when configured and analytically relevant.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ipaddress for IP validation.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robust URL parser for URL validation and canonicalization.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 internationalized domains safely.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hash length and hexadecimal content.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original display value, normalized value, type, source document ID, start offset, end offset, surrounding context, extraction rule, and validation state.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stable first-occurrence ordering.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Deduplicate without using unordered set output.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configurable exclusion for private, loopback, reserved, multicast, documentation, unspecified, and link-local IPs.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allowlist or suppression configuration for known benign domains and common false positives.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unexplained duplicate domain evidence when the same domain occurs inside a URL.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CVE candidates separately from IOC collections.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Produce deterministic JSON and CSV export.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CLI extraction from a file and standard input.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 perform network enrichment in this phase.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Required tests: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 and invalid IPv4, including octets over 255.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IPv6 compression and invalid addresses.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and excluded address classes.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Defanged and already refanged text.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 with ports, paths, query, fragments, credentials, punycode, and invalid schemes.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MD5, SHA-1, and SHA-256 boundaries.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Hash-like ordinary text.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CVE case and formatting.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Registry and file paths.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Duplicate and overlapping indicators.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Unicode and punctuation adjacency.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Hostile large input within configured limit.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Stable output ordering.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Exact evidence spans.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Acceptance: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output indicator is validated and linked to evidence.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False-positive and exclusion behavior is configurable and tested.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current sample private address cannot silently appear as a public IOC.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continue into enrichment or persistence.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m7xxnk7056pa" w:id="3"/>
      <w:bookmarkEnd w:id="3"/>
      <w:r w:rsidDel="00000000" w:rsidR="00000000" w:rsidRPr="00000000">
        <w:rPr>
          <w:rtl w:val="0"/>
        </w:rPr>
        <w:t xml:space="preserve">Phase 4 Prompt: PostgreSQL Persistence, Deduplication, and Scheduling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Implement Phase 4 only: PostgreSQL Persistence, Deduplication, and Scheduling.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Make PostgreSQL the authoritative historical and operational store and create a deterministic daily job that is independent of Hermes.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 the approved Data Model and Historical Correlation Specification as the authority. If a field must differ for implementation reasons, explain the difference before editing and preserve the semantic requirement.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Required deliverables: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typed SQLAlchemy 2 models.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session and transaction management.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repository interfaces and concrete PostgreSQL repositories.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Alembic configuration and baseline migration.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ingestion_run, source_run, operational_event, source, raw_artifact, source_document, evidence_claim, indicator, indicator_observation, vulnerability, product, affected_product, attack_technique, enrichment_result, risk_assessment, relationship, relationship_evidence, report, report_version, report_entity, hunt, remediation, detection, publication, and model_run tables or staged equivalents with clear migration order.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raw artifacts immutable.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changed source documents and assessments.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stable natural keys and database uniqueness constraints.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idempotent upsert rules.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transaction boundaries that prevent partially committed runs from appearing successful.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database advisory lock for the daily pipeline.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stable idempotency keys.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last successful run and stale-run queries.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CLI commands for database migration, daily run, run status, failed-source retry, and doctor.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 dedicated scheduler process or container entrypoint.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schedule timezone explicitly.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scheduler does not depend on Hermes cron.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migration behavior explicit during application startup; do not run uncontrolled migrations from every web worker.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Required tests: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migrations to an empty temporary PostgreSQL database.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Upgrade through every migration.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Roll back only migrations declared reversible.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 a complete fixture run.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Rerun identical input without duplicates.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 changed input as a version.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Concurrent daily run obtains only one lock.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 failure does not mark the run successful.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sources remain attributable when other sources fail.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repository queries cannot return drafts.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Last-success and stale-run behavior.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 ephemeral PostgreSQL in integration tests. SQLite is not an acceptable substitute for PostgreSQL-specific locking, constraints, JSONB, or migration behavior.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Acceptance: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Reprocessing the same fixture produces the same durable state.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published or proposed record traces to source evidence and a run.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scheduler restart does not duplicate the daily run.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implement enrichment providers or model correlations in this phase.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8yt7cvxn9sd3" w:id="4"/>
      <w:bookmarkEnd w:id="4"/>
      <w:r w:rsidDel="00000000" w:rsidR="00000000" w:rsidRPr="00000000">
        <w:rPr>
          <w:rtl w:val="0"/>
        </w:rPr>
        <w:t xml:space="preserve">Phase 5 Prompt: Enrichment and Explainable Risk Scoring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Implement Phase 5 only: Enrichment and Explainable Risk Scoring.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Add bounded, cached enrichment providers and an evidence-backed priority calculation.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Required provider order: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CISA KEV.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EPSS.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CVE detail source such as NVD.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VirusTotal.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AlienVault OTX.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AbuseIPDB.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Required deliverables: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a common provider interface.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provider request, normalized result, raw metadata, status, retryability, retrieval time, expiry, payload hash, and error classification.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CISA KEV, EPSS, and the approved CVE-detail client.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optional providers only behind explicit configuration and credentials.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missing optional credentials disable the provider without failing application startup.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cache lookup and TTL.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per-provider rate limits and concurrency.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bounded retry and Retry-After handling.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quota or rate-limit state without logging keys.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degraded, partial, unavailable, stale, and successful enrichment states.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conflicting provider results.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an explainable priority score whose stored component breakdown reproduces the final score.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exploitation state, CVSS, EPSS, recency, affected-product significance, source reliability, and independent corroboration as separate components.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severity and confidence separate.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scoring logic.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infer actor attribution from risk score.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private provider-health endpoints or service methods.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CLI enrichment for selected record IDs and run IDs.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Required tests: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Recorded success responses.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timeout.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 limit.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Retry-After.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Malformed payload.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Schema drift.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Missing credentials.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 hit and expiry.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Partial result.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Conflicting evidence.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 breakdown reproduction.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outage leaves prior normalized enrichment intact.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Secrets absent from logs, errors, and model representation.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Acceptance: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CVE can be enriched and scored with a complete evidence breakdown.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providers can be absent.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provider outage is visible but does not corrupt historical data.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implement LLM-assisted correlation or reports in this phase.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