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2fu1oyfrjh" w:id="0"/>
      <w:bookmarkEnd w:id="0"/>
      <w:r w:rsidDel="00000000" w:rsidR="00000000" w:rsidRPr="00000000">
        <w:rPr>
          <w:rtl w:val="0"/>
        </w:rPr>
        <w:t xml:space="preserve">LLM Implementation Prompts: Phases 6-9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ri2f6eo8yuv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Append one prompt from this document to the Master Implementation Contract. Do not combine correlation, report generation, portal, and deployment into a single change.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udsqbrzowb" w:id="2"/>
      <w:bookmarkEnd w:id="2"/>
      <w:r w:rsidDel="00000000" w:rsidR="00000000" w:rsidRPr="00000000">
        <w:rPr>
          <w:rtl w:val="0"/>
        </w:rPr>
        <w:t xml:space="preserve">Phase 6 Prompt: Historical Correlation and Resurfacing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Phase 6 only: Historical Correlation and Resurfacing.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Relate new public CTI to the historical PostgreSQL corpus with explicit evidence and guarded model proposals.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deterministic correlation rules for exact CVE, normalized indicator, CPE or normalized product, ATT&amp;CK ID, content hash, provider-stable identifiers, and validated infrastructure observations.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correlation rule name and version.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candidate selection for shared infrastructure, malware, tool, campaign, actor aliases, behavior, sector, geography, temporal relevance, and semantic similarity.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selection does not establish a relationship.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relationship origin as deterministic, sourced assertion, or model inference.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source and target, type, direction, confidence, justification, first and last seen, evidence, review state, model identity, prompt version, and supersession.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evidence for sourced assertions.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proposed or reviewed state for model inference.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actor attribution from a commodity tool, generic ATT&amp;CK technique, geography alone, or weak IOC overlap.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contradiction evidence.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resurfacing events and versioned reassessments.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Qualifying resurfacing includes KEV addition, material EPSS or CVSS change, new active exploitation evidence, reactivated infrastructure, independent corroboration, expanded affected technology surface, completed attack chain, or obsolete detection and remediation.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service queries needed by the analyst prompt and portal.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controlled endpoint or CLI for submitting model proposals. Do not permit direct model database writes.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public CTI language; never claim the user’s environment is exposed.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Deterministic relationship reproducibility.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input does not duplicate relationships.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Weak evidence cannot publish attribution.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Contradiction remains visible.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Resurfacing links old and new evidence.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 assessment remains queryable.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proposals remain unpublished until policy permits.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projection excludes unreviewed proposals.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 and severity remain separate.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fixture can resurface a historical report with explicit reasons and evidence.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Unsupported attribution fails validation.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generate detections or publish reports yet.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3nxz9pl1u7kw" w:id="3"/>
      <w:bookmarkEnd w:id="3"/>
      <w:r w:rsidDel="00000000" w:rsidR="00000000" w:rsidRPr="00000000">
        <w:rPr>
          <w:rtl w:val="0"/>
        </w:rPr>
        <w:t xml:space="preserve">Phase 7 Prompt: Detection, Hunting, Remediation, and Report Pipeline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Implement Phase 7 only: Detection, Hunting, Remediation, and Report Pipeline.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Generate complete, evidence-backed analyst content and validate it before publication.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structured report schemas and persistence.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report sections: headline, executive summary, technical analysis, evidence, IOCs, vulnerabilities and affected products, ATT&amp;CK mapping, detection content, threat hunting, remediation, historical relationships, timeline, confidence, and caveats.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hunting and remediation separate.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Constrain headline generation to evidence-backed operational significance.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Sigma rule generation from structured evidence.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generated Sigma and convert it with sigma-cli for supported backends.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YARA only when file evidence supports it.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generated YARA through yara-python.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SPL and KQL with telemetry, index, field, and platform assumptions.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generic fallback queries as templates.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threat-hunt fields: objective, scope, platform, telemetry, lookback, hypothesis, procedure, expected evidence, false positives, escalation, and validation.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remediation fields: containment, exposure reduction, patching, configuration, credentials, blocking limitations, evidence preservation, recovery, verification, rollback, and authoritative references.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evidence-coverage validation.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draft, validated, approved, published, rejected, and superseded states.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Markdown, JSON, and portal-ready renderers.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artifact hashes and downloads.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publication transaction must leave the previous published report active if validation or rendering fails.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model, prompt, skill, evidence, and application versions.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required report sections.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Unsupported headline claim.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Unsupported remediation.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Sigma parsing and conversion.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Sigma rejection.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YARA compile success and failure.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rendering of malicious strings and URLs.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 and remediation independent retrieval.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version history.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 rollback.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projection contains only approved content.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fixture evidence set produces a validated report with separate hunt and remediation sections and compiled detection artifacts.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build the dynamic portal in the same change.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4e2igmgu1l9" w:id="4"/>
      <w:bookmarkEnd w:id="4"/>
      <w:r w:rsidDel="00000000" w:rsidR="00000000" w:rsidRPr="00000000">
        <w:rPr>
          <w:rtl w:val="0"/>
        </w:rPr>
        <w:t xml:space="preserve">Phase 8 Prompt: Dynamic Analyst Portal and Public/Private API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Implement Phase 8 only: Dynamic Analyst Portal and Public/Private API.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Build the approved dynamic analyst experience using FastAPI, Jinja2, HTMX, accessible HTML, CSS, and focused TypeScript.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the Dynamic Analyst Portal Product and UX Specification as authoritative.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report list with concise headline line items.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severity, confidence, new or updated or resurfaced state, timestamps, primary CVEs, products, actor or malware when supported, ATT&amp;CK badges, source count, hunt availability, and remediation availability.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Full-text search.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Multi-select filters.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range.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and confidence threshold.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Server-side pagination.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URL-preserved state.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HTMX report modal.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Accessible dialog lifecycle.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Browser-history synchronization.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report route.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hunt route.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remediation route.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detection route.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Related entity pivots.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On-demand loading of large modal sections.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JSON API using public schemas.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authenticated admin and operations APIs.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HTMX partial endpoints.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Security Policy.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source HTML handling.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or defanged malicious URL display.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behavior and ETags.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optimization.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TypeScript modules only for progressive enhancement.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JavaScript-disabled canonical pages.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Required modal sections: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summary.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analysis.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and sources.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CVEs and affected products.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mapping.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 content.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Threat hunting.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relationships.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 and change history.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 and caveats.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API contracts.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and authorization.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Drafts inaccessible publicly.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Filters and pagination.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fragment.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page.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 page.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 page.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and forward navigation.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 dialog behavior.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JavaScript-disabled page.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XSS and malicious source markup.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Public/private proxy route configuration.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checks.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Query-count or N+1 detection.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Bounded performance test using representative fixture volume.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portal functions as an analyst workspace, not a feed.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 and remediation are separate and deep-linkable.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users cannot access private state.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deploy production in this phase.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mv1jgt15utw7" w:id="5"/>
      <w:bookmarkEnd w:id="5"/>
      <w:r w:rsidDel="00000000" w:rsidR="00000000" w:rsidRPr="00000000">
        <w:rPr>
          <w:rtl w:val="0"/>
        </w:rPr>
        <w:t xml:space="preserve">Phase 9 Prompt: Docker Production, CI, Backup, and Hermes Profiles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Implement Phase 9 only: Production Deployment, CI, Backup, and Hermes Control.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Prepare a production-quality Docker Compose deployment for the existing Linux home-lab server. Do not deploy until the user explicitly authorizes deployment.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multi-stage Dockerfile with non-root runtime.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Compose services for proxy, web, worker, scheduler, postgres, backup, and monitor.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pinned application image for web, worker, and scheduler with distinct commands.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Docker networks.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proxy ports exposed.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 volumes.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Runtime secrets.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checks.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unless-stopped for long-running services.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Controlled one-shot migration command.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proxy configuration.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and private route isolation.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backup script.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retention.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verification script against an isolated target.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script using immutable tag or digest.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Post-deployment smoke test.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rollback to the prior compatible image when smoke tests fail.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Last-success, scheduler heartbeat, backup age, disk, and certificate checks.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Expanded CI for frozen sync, Ruff, typing, tests, PostgreSQL integration, migrations, secret scan, dependency scan, Docker build, Compose validation, API smoke, portal end-to-end, Sigma, and YARA.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instructions for analyst and cti-maintainer profiles.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profile homes and credential boundaries.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Script-only health watchdog.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analyst, feed-quality, historical resurfacing, weekly maintenance, release, recovery, and monthly retrospective prompt installation instructions.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Runbook synchronized with actual commands.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Security constraints: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Docker socket in the public web container.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public PostgreSQL port.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repository write mount in public containers.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secrets in image, repository, logs, or prompt files.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Analyst profile has no deployment secret.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Maintainer cannot push main, merge, or deploy without approval.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rollback applies only after an approved deployment.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install Hermes jobs by editing jobs.json directly when the supported cron tool exists.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Required tests and rehearsals: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build.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config.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bootstrap against empty volumes in a disposable environment.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and readiness.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and private route isolation.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reboot or Compose restart behavior.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Stale-run monitor.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creation.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Isolated restore verification.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smoke test rollback.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Analyst profile cannot use maintainer operations.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Maintainer workflow results in issue or draft PR only.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Completion response must clearly separate: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prepared.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 performed locally.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prerequisites.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 that still require user approval.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Commands that would deploy but were not executed.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repository contains a verifiable production deployment package.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production mutation occurred without explicit authorization.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