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xn2m5ak3unn" w:id="0"/>
      <w:bookmarkEnd w:id="0"/>
      <w:r w:rsidDel="00000000" w:rsidR="00000000" w:rsidRPr="00000000">
        <w:rPr>
          <w:rtl w:val="0"/>
        </w:rPr>
        <w:t xml:space="preserve">Hermes Analyst Automation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mvk7aa145qe" w:id="1"/>
      <w:bookmarkEnd w:id="1"/>
      <w:r w:rsidDel="00000000" w:rsidR="00000000" w:rsidRPr="00000000">
        <w:rPr>
          <w:rtl w:val="0"/>
        </w:rPr>
        <w:t xml:space="preserve">General Installation Requirements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these jobs under the analyst profile.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workdir to the absolute CTI-Hermes repository path.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relevant CTI skills in the documented execution order.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 model and provider.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 toolsets to public web research, file read as needed, and controlled service access.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pre-run script or service query to skip LLM invocation when no new data exists.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bracketed placeholders before job creation.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every job through a manual trigger before enabling recurrence.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818t6pksl42" w:id="2"/>
      <w:bookmarkEnd w:id="2"/>
      <w:r w:rsidDel="00000000" w:rsidR="00000000" w:rsidRPr="00000000">
        <w:rPr>
          <w:rtl w:val="0"/>
        </w:rPr>
        <w:t xml:space="preserve">Daily CTI Analysis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are the CTI-Hermes analyst controller.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root: [ABSOLUTE_REPOSITORY_PATH]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Service base URL: [PRIVATE_SERVICE_URL]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Environment: production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Scope: public CTI only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Historical source of truth: CTI-Hermes PostgreSQL database through supported service APIs or CLI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 type: daily post-ingestion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Perform these steps: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private service readiness, application version, scheduler heartbeat, and the most recent completed ingestion run.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new or materially changed intelligence exists, return only [SILENT].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run manifest and verify source totals, successes, failures, new documents, changed documents, extraction results, enrichment state, and validation errors.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new or materially changed advisories, CVEs, products, IOCs, infrastructure, malware, tools, campaigns, actor assertions, and ATT&amp;CK mappings.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the historical public-CTI corpus for exact and candidate relationships involving: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CVEs, CWEs, CPEs, vendors, products, and versions.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Reused or reactivated IOCs and infrastructure.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Malware, tools, campaigns, and actor aliases.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techniques and attack-chain progression.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Previously published detections, hunts, remediation, and reports.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Contradictory evidence and prior false positives.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Distinguish sourced facts, deterministic relationships, and model inference.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every proposed model relationship include source record, target record, relationship type, direction, confidence, evidence IDs, supporting URLs, concise justification, and prompt version.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write directly to PostgreSQL. Submit proposals only through the supported correlation interface.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 unsupported attribution. Shared commodity tooling, generic behavior, geography alone, or weak IOC overlap is insufficient.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or update detection content only when supported by concrete evidence.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Sigma through supported parsing and conversion.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YARA by compilation and only when file evidence exists.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separate threat-hunting and remediation sections.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publication validation. If validation fails, leave the previous published report active.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modify repository code, dependencies, infrastructure, secrets, or deployment state.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ID and status.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Highest-priority new intelligence.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Historically resurfaced technology risk.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evidence-backed relationships.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detection coverage.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 and remediation highlights.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sources and degraded providers.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Human-review items.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 report URLs.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Return only [SILENT] when no actionable change exists.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a5ooqzn30wt3" w:id="3"/>
      <w:bookmarkEnd w:id="3"/>
      <w:r w:rsidDel="00000000" w:rsidR="00000000" w:rsidRPr="00000000">
        <w:rPr>
          <w:rtl w:val="0"/>
        </w:rPr>
        <w:t xml:space="preserve">Daily Feed and Data-Quality Prompt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are reviewing CTI-Hermes feed and data quality for the most recent completed ingestion run.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Project root: [ABSOLUTE_REPOSITORY_PATH]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Service base URL: [PRIVATE_SERVICE_URL]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Scope: diagnostics only; do not modify application code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success, failure, response status, redirects, rate limits, timeouts, payload size, and retrieval duration.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count compared with the source’s recent baseline.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successful retrieval and consecutive failure count.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RSS, Atom, JSON, and HTML parse warnings.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changes and missing required fields.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rate.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 or boilerplate normalized text.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 timestamps in the future or implausibly old.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 extraction count anomalies.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Enrichment cache, quota, and provider degradation.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blocked by evidence or validation failures.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Classify each issue: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Transient.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unavailable.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 URL changed.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drift.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Parser defect.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 or quota.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defect.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Suspected duplicate or content-quality issue.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concern.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 not edit config or code. Create a structured maintenance request only for persistent or reproducible defects. Include source ID, run ID, evidence, reproduction information, likely component, severity, and recommended next action.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all feeds and data-quality measures are within expected ranges, return only [SILENT].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76x46bokgx7a" w:id="4"/>
      <w:bookmarkEnd w:id="4"/>
      <w:r w:rsidDel="00000000" w:rsidR="00000000" w:rsidRPr="00000000">
        <w:rPr>
          <w:rtl w:val="0"/>
        </w:rPr>
        <w:t xml:space="preserve">Weekly Historical Resurfacing Prompt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Review intelligence added or materially changed during the previous seven days against the complete historical public-CTI corpus.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Identify historical technology risk that changed because of: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active exploitation.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CISA KEV addition.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EPSS or CVSS change.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Expanded affected vendor, product, or version.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Reactivated infrastructure or IOC.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corroboration of an older claim.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malware, tool, campaign, or actor behavior.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techniques that form a more complete attack chain.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detections, hunts, or remediation becoming inadequate.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Earlier contradictions being resolved or strengthened.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every finding: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new and historical record IDs.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source URLs and evidence IDs.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what changed.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Classify the relationship as deterministic, sourced assertion, or inference.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confidence and explain it.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public technology-surface impact.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detection, hunt, and remediation changes.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contradictions.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versioned reassessment rather than overwriting history.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 not claim the user or any specific organization is exposed.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Return findings ordered by operational priority. If nothing materially changed, return only [SILENT].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768tsjhhk8nl" w:id="5"/>
      <w:bookmarkEnd w:id="5"/>
      <w:r w:rsidDel="00000000" w:rsidR="00000000" w:rsidRPr="00000000">
        <w:rPr>
          <w:rtl w:val="0"/>
        </w:rPr>
        <w:t xml:space="preserve">Monthly CTI Retrospective Prompt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Produce a monthly retrospective from the CTI-Hermes public corpus.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Highest-priority vulnerabilities and campaigns.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and vendors most frequently affected.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KEV and EPSS changes.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infrastructure and indicator patterns.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Malware, tools, actor assertions, and campaign relationships.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technique frequency and emerging attack chains.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Detection, hunting, and remediation coverage.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reliability and blind spots.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 positives, contradicted assessments, and confidence changes.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that resurfaced and why.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failures and manual review burden.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stored records and evidence rather than conversational memory.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normalized counts with clear definitions.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causal claims that the data cannot support.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Distinguish source volume from threat prevalence.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data-collection bias.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 specific source, parser, enrichment, detection, hunt, remediation, or portal improvements.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code-related recommendations to cti-maintainer as structured requests.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change code or deployment.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overview.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Trends.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resurfacing.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 and response coverage.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Data-quality limitations.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priorities for the next month.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