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gk6p9fnu0wt" w:id="0"/>
      <w:bookmarkEnd w:id="0"/>
      <w:r w:rsidDel="00000000" w:rsidR="00000000" w:rsidRPr="00000000">
        <w:rPr>
          <w:rtl w:val="0"/>
        </w:rPr>
        <w:t xml:space="preserve">CTI-Hermes Decision Log and Final Acceptance Checklist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cdd9n8fga0nl" w:id="1"/>
      <w:bookmarkEnd w:id="1"/>
      <w:r w:rsidDel="00000000" w:rsidR="00000000" w:rsidRPr="00000000">
        <w:rPr>
          <w:rtl w:val="0"/>
        </w:rPr>
        <w:t xml:space="preserve">Locked Decisions</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Continue with Python.</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Use FastAPI, Pydantic, PostgreSQL, SQLAlchemy, Alembic, Jinja2, HTMX, and focused TypeScript.</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Deploy with Docker Compose on the existing Linux home-lab server.</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Keep the CTI service independently operational from Hermes.</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Use public CTI only.</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Correlate against historical public CTI only.</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Publish a public read-only analyst portal.</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Protect administrative and operational endpoints.</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Build a dynamic analyst portal with report lines, modal details, canonical pages, search, filters, hunts, and remediation.</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Keep hunting and remediation as separate report components.</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Run deterministic scheduling outside Hermes.</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Use a dedicated analyst profile and a separate cti-maintainer profile.</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Keep code maintenance approval-gated through draft pull requests.</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Allow automatic service restart and failed-deployment rollback.</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Do not introduce a separate React application initially.</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Do not introduce Redis, Celery, Kubernetes, or a graph database until measured requirements justify them.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6n7tww69qog" w:id="2"/>
      <w:bookmarkEnd w:id="2"/>
      <w:r w:rsidDel="00000000" w:rsidR="00000000" w:rsidRPr="00000000">
        <w:rPr>
          <w:rtl w:val="0"/>
        </w:rPr>
        <w:t xml:space="preserve">Interpretation Rules</w:t>
      </w:r>
    </w:p>
    <w:p w:rsidR="00000000" w:rsidDel="00000000" w:rsidP="00000000" w:rsidRDefault="00000000" w:rsidRPr="00000000" w14:paraId="00000016">
      <w:pPr>
        <w:pStyle w:val="Heading2"/>
        <w:rPr/>
      </w:pPr>
      <w:bookmarkStart w:colFirst="0" w:colLast="0" w:name="_g35gt65k49v" w:id="3"/>
      <w:bookmarkEnd w:id="3"/>
      <w:r w:rsidDel="00000000" w:rsidR="00000000" w:rsidRPr="00000000">
        <w:rPr>
          <w:rtl w:val="0"/>
        </w:rPr>
        <w:t xml:space="preserve">Public CTI</w:t>
      </w:r>
    </w:p>
    <w:p w:rsidR="00000000" w:rsidDel="00000000" w:rsidP="00000000" w:rsidRDefault="00000000" w:rsidRPr="00000000" w14:paraId="00000017">
      <w:pPr>
        <w:rPr/>
      </w:pPr>
      <w:r w:rsidDel="00000000" w:rsidR="00000000" w:rsidRPr="00000000">
        <w:rPr>
          <w:rtl w:val="0"/>
        </w:rPr>
        <w:t xml:space="preserve">Public CTI includes openly accessible government advisories, vendor publications, security research, vulnerability databases, and appropriately licensed or permitted feeds. It does not include internal logs, private customer telemetry, stolen data, unauthorized access, or secret material.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rfc6fru9ecuw" w:id="4"/>
      <w:bookmarkEnd w:id="4"/>
      <w:r w:rsidDel="00000000" w:rsidR="00000000" w:rsidRPr="00000000">
        <w:rPr>
          <w:rtl w:val="0"/>
        </w:rPr>
        <w:t xml:space="preserve">Historical Attack Surface</w:t>
      </w:r>
    </w:p>
    <w:p w:rsidR="00000000" w:rsidDel="00000000" w:rsidP="00000000" w:rsidRDefault="00000000" w:rsidRPr="00000000" w14:paraId="0000001A">
      <w:pPr>
        <w:rPr/>
      </w:pPr>
      <w:r w:rsidDel="00000000" w:rsidR="00000000" w:rsidRPr="00000000">
        <w:rPr>
          <w:rtl w:val="0"/>
        </w:rPr>
        <w:t xml:space="preserve">Historical attack surface means affected technologies, versions, services, protocols, industries, and publicly documented exploitation patterns. It does not mean the user’s home lab or organization is exposed.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2x8ztrpklls" w:id="5"/>
      <w:bookmarkEnd w:id="5"/>
      <w:r w:rsidDel="00000000" w:rsidR="00000000" w:rsidRPr="00000000">
        <w:rPr>
          <w:rtl w:val="0"/>
        </w:rPr>
        <w:t xml:space="preserve">Self-Maintenance</w:t>
      </w:r>
    </w:p>
    <w:p w:rsidR="00000000" w:rsidDel="00000000" w:rsidP="00000000" w:rsidRDefault="00000000" w:rsidRPr="00000000" w14:paraId="0000001D">
      <w:pPr>
        <w:rPr/>
      </w:pPr>
      <w:r w:rsidDel="00000000" w:rsidR="00000000" w:rsidRPr="00000000">
        <w:rPr>
          <w:rtl w:val="0"/>
        </w:rPr>
        <w:t xml:space="preserve">Self-maintenance means health supervision, restart, diagnostics, test execution, issue creation, draft pull requests, approved deployment, smoke testing, and rollback. It does not mean unsupervised changes to main or production.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mkio0plevk7l" w:id="6"/>
      <w:bookmarkEnd w:id="6"/>
      <w:r w:rsidDel="00000000" w:rsidR="00000000" w:rsidRPr="00000000">
        <w:rPr>
          <w:rtl w:val="0"/>
        </w:rPr>
        <w:t xml:space="preserve">Analyst Portal</w:t>
      </w:r>
    </w:p>
    <w:p w:rsidR="00000000" w:rsidDel="00000000" w:rsidP="00000000" w:rsidRDefault="00000000" w:rsidRPr="00000000" w14:paraId="00000020">
      <w:pPr>
        <w:rPr/>
      </w:pPr>
      <w:r w:rsidDel="00000000" w:rsidR="00000000" w:rsidRPr="00000000">
        <w:rPr>
          <w:rtl w:val="0"/>
        </w:rPr>
        <w:t xml:space="preserve">The portal is not a news aggregator. It is an evidence-centered investigation interface that makes intelligence, relationships, hunts, remediation, detections, and source provenance directly accessible.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leubk41dc6y3" w:id="7"/>
      <w:bookmarkEnd w:id="7"/>
      <w:r w:rsidDel="00000000" w:rsidR="00000000" w:rsidRPr="00000000">
        <w:rPr>
          <w:rtl w:val="0"/>
        </w:rPr>
        <w:t xml:space="preserve">Required Approval Gates</w:t>
      </w:r>
    </w:p>
    <w:p w:rsidR="00000000" w:rsidDel="00000000" w:rsidP="00000000" w:rsidRDefault="00000000" w:rsidRPr="00000000" w14:paraId="00000023">
      <w:pPr>
        <w:rPr/>
      </w:pPr>
      <w:r w:rsidDel="00000000" w:rsidR="00000000" w:rsidRPr="00000000">
        <w:rPr>
          <w:rtl w:val="0"/>
        </w:rPr>
        <w:t xml:space="preserve">Human approval is required before:</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Merging application code.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Production deployment of a new application version.</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Destructive or irreversible database changes.</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Changing authentication or authorization policy.</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Exposing a private endpoint.</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Adding a new paid provider or unbounded LLM job.</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Weakening validation, CI, secrets handling, or evidence requirements.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Changing backup retention.</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Publishing disputed attribution as fact.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h6gmtt5ihxko" w:id="8"/>
      <w:bookmarkEnd w:id="8"/>
      <w:r w:rsidDel="00000000" w:rsidR="00000000" w:rsidRPr="00000000">
        <w:rPr>
          <w:rtl w:val="0"/>
        </w:rPr>
        <w:t xml:space="preserve">Automatic Actions Allowed</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Docker restart of failed long-running services.</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Health and readiness checks.</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Daily deterministic ingestion.</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Backup creation and verification.</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Idempotent retry of transient source failures within configured limits.</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Silent successful health checks.</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Generation of draft analysis and correlation proposals.</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Automatic rollback to the last known good release after a failed approved deployment.</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Creation of GitHub issues and draft pull requests by cti-maintainer.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xwdsxs3v3659" w:id="9"/>
      <w:bookmarkEnd w:id="9"/>
      <w:r w:rsidDel="00000000" w:rsidR="00000000" w:rsidRPr="00000000">
        <w:rPr>
          <w:rtl w:val="0"/>
        </w:rPr>
        <w:t xml:space="preserve">Final Product Acceptance</w:t>
      </w:r>
    </w:p>
    <w:p w:rsidR="00000000" w:rsidDel="00000000" w:rsidP="00000000" w:rsidRDefault="00000000" w:rsidRPr="00000000" w14:paraId="0000003A">
      <w:pPr>
        <w:pStyle w:val="Heading2"/>
        <w:rPr/>
      </w:pPr>
      <w:bookmarkStart w:colFirst="0" w:colLast="0" w:name="_coszm97589kl" w:id="10"/>
      <w:bookmarkEnd w:id="10"/>
      <w:r w:rsidDel="00000000" w:rsidR="00000000" w:rsidRPr="00000000">
        <w:rPr>
          <w:rtl w:val="0"/>
        </w:rPr>
        <w:t xml:space="preserve">Service</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Docker Compose starts every required service on the home-lab Linux server.</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The service survives Hermes restart or absence.</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Health, readiness, version, and last-success endpoints work.</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Daily runs are idempotent and protected against overlapping execution.</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Partial feed failure is visible and does not erase successful results.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yocz5tuopr85" w:id="11"/>
      <w:bookmarkEnd w:id="11"/>
      <w:r w:rsidDel="00000000" w:rsidR="00000000" w:rsidRPr="00000000">
        <w:rPr>
          <w:rtl w:val="0"/>
        </w:rPr>
        <w:t xml:space="preserve">Data</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Raw source evidence and normalized CTI are separated.</w:t>
      </w:r>
    </w:p>
    <w:p w:rsidR="00000000" w:rsidDel="00000000" w:rsidP="00000000" w:rsidRDefault="00000000" w:rsidRPr="00000000" w14:paraId="00000043">
      <w:pPr>
        <w:numPr>
          <w:ilvl w:val="0"/>
          <w:numId w:val="8"/>
        </w:numPr>
        <w:ind w:left="720" w:hanging="360"/>
        <w:rPr>
          <w:u w:val="none"/>
        </w:rPr>
      </w:pPr>
      <w:r w:rsidDel="00000000" w:rsidR="00000000" w:rsidRPr="00000000">
        <w:rPr>
          <w:rtl w:val="0"/>
        </w:rPr>
        <w:t xml:space="preserve">Every record has provenance.</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Historical data is versioned rather than overwritten.</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Correlations carry evidence, type, confidence, and origin.</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Model inference is visibly different from sourced fact.</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No internal asset exposure claims are produced.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g2tfwid753k6" w:id="12"/>
      <w:bookmarkEnd w:id="12"/>
      <w:r w:rsidDel="00000000" w:rsidR="00000000" w:rsidRPr="00000000">
        <w:rPr>
          <w:rtl w:val="0"/>
        </w:rPr>
        <w:t xml:space="preserve">Portal</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Reports appear as concise line items.</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Search, filters, sort, and pagination work.</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Clicking a line loads a complete modal.</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Canonical report pages work without JavaScript.</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Hunting and remediation are separate.</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Related entities can be explored.</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Public and private data are isolated.</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Accessibility and malicious-content safety are tested.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9ymfy7oe97rg" w:id="13"/>
      <w:bookmarkEnd w:id="13"/>
      <w:r w:rsidDel="00000000" w:rsidR="00000000" w:rsidRPr="00000000">
        <w:rPr>
          <w:rtl w:val="0"/>
        </w:rPr>
        <w:t xml:space="preserve">Detection Content</w:t>
      </w:r>
    </w:p>
    <w:p w:rsidR="00000000" w:rsidDel="00000000" w:rsidP="00000000" w:rsidRDefault="00000000" w:rsidRPr="00000000" w14:paraId="00000054">
      <w:pPr>
        <w:numPr>
          <w:ilvl w:val="0"/>
          <w:numId w:val="10"/>
        </w:numPr>
        <w:ind w:left="720" w:hanging="360"/>
        <w:rPr>
          <w:u w:val="none"/>
        </w:rPr>
      </w:pPr>
      <w:r w:rsidDel="00000000" w:rsidR="00000000" w:rsidRPr="00000000">
        <w:rPr>
          <w:rtl w:val="0"/>
        </w:rPr>
        <w:t xml:space="preserve">Sigma parses and converts through supported tooling.</w:t>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YARA compiles before publication.</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SPL and KQL include assumptions and telemetry requirements.</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Detections link back to evidence and report versions.</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False positives and validation guidance are included.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kvdf19cu7aky" w:id="14"/>
      <w:bookmarkEnd w:id="14"/>
      <w:r w:rsidDel="00000000" w:rsidR="00000000" w:rsidRPr="00000000">
        <w:rPr>
          <w:rtl w:val="0"/>
        </w:rPr>
        <w:t xml:space="preserve">Hermes</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Analyst and maintainer use separate HERMES_HOME directories.</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Each profile has only the necessary tools and credentials.</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Scheduled prompts are self-contained.</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Historical recall comes from PostgreSQL, not MEMORY.md.</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The maintainer cannot silently merge or deploy.</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Healthy watchdog runs remain silent.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82bva6amoqee" w:id="15"/>
      <w:bookmarkEnd w:id="15"/>
      <w:r w:rsidDel="00000000" w:rsidR="00000000" w:rsidRPr="00000000">
        <w:rPr>
          <w:rtl w:val="0"/>
        </w:rPr>
        <w:t xml:space="preserve">Engineering Quality</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uv.lock is committed.</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Ruff, typing, tests, migration checks, secret scanning, dependency scanning, Docker build, and smoke tests run in CI.</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Tests include fixtures and do not depend on live feeds by default.</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Migrations support forward upgrade and documented rollback.</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Documentation and runbooks reflect implemented behavior.</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The README no longer claims unimplemented features as complete.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ft46x5v5w07d" w:id="16"/>
      <w:bookmarkEnd w:id="16"/>
      <w:r w:rsidDel="00000000" w:rsidR="00000000" w:rsidRPr="00000000">
        <w:rPr>
          <w:rtl w:val="0"/>
        </w:rPr>
        <w:t xml:space="preserve">Deferred Decisions</w:t>
      </w:r>
    </w:p>
    <w:p w:rsidR="00000000" w:rsidDel="00000000" w:rsidP="00000000" w:rsidRDefault="00000000" w:rsidRPr="00000000" w14:paraId="0000006B">
      <w:pPr>
        <w:rPr/>
      </w:pPr>
      <w:r w:rsidDel="00000000" w:rsidR="00000000" w:rsidRPr="00000000">
        <w:rPr>
          <w:rtl w:val="0"/>
        </w:rPr>
        <w:t xml:space="preserve">These items are intentionally deferred until evidence justifies them:</w:t>
      </w:r>
    </w:p>
    <w:p w:rsidR="00000000" w:rsidDel="00000000" w:rsidP="00000000" w:rsidRDefault="00000000" w:rsidRPr="00000000" w14:paraId="0000006C">
      <w:pPr>
        <w:numPr>
          <w:ilvl w:val="0"/>
          <w:numId w:val="11"/>
        </w:numPr>
        <w:ind w:left="720" w:hanging="360"/>
        <w:rPr>
          <w:u w:val="none"/>
        </w:rPr>
      </w:pPr>
      <w:r w:rsidDel="00000000" w:rsidR="00000000" w:rsidRPr="00000000">
        <w:rPr>
          <w:rtl w:val="0"/>
        </w:rPr>
        <w:t xml:space="preserve">Redis and Celery.</w:t>
      </w:r>
    </w:p>
    <w:p w:rsidR="00000000" w:rsidDel="00000000" w:rsidP="00000000" w:rsidRDefault="00000000" w:rsidRPr="00000000" w14:paraId="0000006D">
      <w:pPr>
        <w:numPr>
          <w:ilvl w:val="0"/>
          <w:numId w:val="11"/>
        </w:numPr>
        <w:ind w:left="720" w:hanging="360"/>
        <w:rPr>
          <w:u w:val="none"/>
        </w:rPr>
      </w:pPr>
      <w:r w:rsidDel="00000000" w:rsidR="00000000" w:rsidRPr="00000000">
        <w:rPr>
          <w:rtl w:val="0"/>
        </w:rPr>
        <w:t xml:space="preserve">Dedicated Next.js frontend.</w:t>
      </w:r>
    </w:p>
    <w:p w:rsidR="00000000" w:rsidDel="00000000" w:rsidP="00000000" w:rsidRDefault="00000000" w:rsidRPr="00000000" w14:paraId="0000006E">
      <w:pPr>
        <w:numPr>
          <w:ilvl w:val="0"/>
          <w:numId w:val="11"/>
        </w:numPr>
        <w:ind w:left="720" w:hanging="360"/>
        <w:rPr>
          <w:u w:val="none"/>
        </w:rPr>
      </w:pPr>
      <w:r w:rsidDel="00000000" w:rsidR="00000000" w:rsidRPr="00000000">
        <w:rPr>
          <w:rtl w:val="0"/>
        </w:rPr>
        <w:t xml:space="preserve">Graph database.</w:t>
      </w:r>
    </w:p>
    <w:p w:rsidR="00000000" w:rsidDel="00000000" w:rsidP="00000000" w:rsidRDefault="00000000" w:rsidRPr="00000000" w14:paraId="0000006F">
      <w:pPr>
        <w:numPr>
          <w:ilvl w:val="0"/>
          <w:numId w:val="11"/>
        </w:numPr>
        <w:ind w:left="720" w:hanging="360"/>
        <w:rPr>
          <w:u w:val="none"/>
        </w:rPr>
      </w:pPr>
      <w:r w:rsidDel="00000000" w:rsidR="00000000" w:rsidRPr="00000000">
        <w:rPr>
          <w:rtl w:val="0"/>
        </w:rPr>
        <w:t xml:space="preserve">pgvector-assisted candidate discovery.</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Multi-node deployment.</w:t>
      </w:r>
    </w:p>
    <w:p w:rsidR="00000000" w:rsidDel="00000000" w:rsidP="00000000" w:rsidRDefault="00000000" w:rsidRPr="00000000" w14:paraId="00000071">
      <w:pPr>
        <w:numPr>
          <w:ilvl w:val="0"/>
          <w:numId w:val="11"/>
        </w:numPr>
        <w:ind w:left="720" w:hanging="360"/>
        <w:rPr>
          <w:u w:val="none"/>
        </w:rPr>
      </w:pPr>
      <w:r w:rsidDel="00000000" w:rsidR="00000000" w:rsidRPr="00000000">
        <w:rPr>
          <w:rtl w:val="0"/>
        </w:rPr>
        <w:t xml:space="preserve">Kubernetes.</w:t>
      </w:r>
    </w:p>
    <w:p w:rsidR="00000000" w:rsidDel="00000000" w:rsidP="00000000" w:rsidRDefault="00000000" w:rsidRPr="00000000" w14:paraId="00000072">
      <w:pPr>
        <w:numPr>
          <w:ilvl w:val="0"/>
          <w:numId w:val="11"/>
        </w:numPr>
        <w:ind w:left="720" w:hanging="360"/>
        <w:rPr>
          <w:u w:val="none"/>
        </w:rPr>
      </w:pPr>
      <w:r w:rsidDel="00000000" w:rsidR="00000000" w:rsidRPr="00000000">
        <w:rPr>
          <w:rtl w:val="0"/>
        </w:rPr>
        <w:t xml:space="preserve">User accounts for the public portal.</w:t>
      </w:r>
    </w:p>
    <w:p w:rsidR="00000000" w:rsidDel="00000000" w:rsidP="00000000" w:rsidRDefault="00000000" w:rsidRPr="00000000" w14:paraId="00000073">
      <w:pPr>
        <w:numPr>
          <w:ilvl w:val="0"/>
          <w:numId w:val="11"/>
        </w:numPr>
        <w:ind w:left="720" w:hanging="360"/>
        <w:rPr>
          <w:u w:val="none"/>
        </w:rPr>
      </w:pPr>
      <w:r w:rsidDel="00000000" w:rsidR="00000000" w:rsidRPr="00000000">
        <w:rPr>
          <w:rtl w:val="0"/>
        </w:rPr>
        <w:t xml:space="preserve">Internal asset inventory and exposure management.</w:t>
      </w:r>
    </w:p>
    <w:p w:rsidR="00000000" w:rsidDel="00000000" w:rsidP="00000000" w:rsidRDefault="00000000" w:rsidRPr="00000000" w14:paraId="00000074">
      <w:pPr>
        <w:numPr>
          <w:ilvl w:val="0"/>
          <w:numId w:val="11"/>
        </w:numPr>
        <w:ind w:left="720" w:hanging="360"/>
        <w:rPr>
          <w:u w:val="none"/>
        </w:rPr>
      </w:pPr>
      <w:r w:rsidDel="00000000" w:rsidR="00000000" w:rsidRPr="00000000">
        <w:rPr>
          <w:rtl w:val="0"/>
        </w:rPr>
        <w:t xml:space="preserve">Additional Hermes analyst profiles.</w:t>
      </w:r>
    </w:p>
    <w:p w:rsidR="00000000" w:rsidDel="00000000" w:rsidP="00000000" w:rsidRDefault="00000000" w:rsidRPr="00000000" w14:paraId="00000075">
      <w:pPr>
        <w:numPr>
          <w:ilvl w:val="0"/>
          <w:numId w:val="11"/>
        </w:numPr>
        <w:ind w:left="720" w:hanging="360"/>
        <w:rPr>
          <w:u w:val="none"/>
        </w:rPr>
      </w:pPr>
      <w:r w:rsidDel="00000000" w:rsidR="00000000" w:rsidRPr="00000000">
        <w:rPr>
          <w:rtl w:val="0"/>
        </w:rPr>
        <w:t xml:space="preserve">External notification platforms.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5nu5u5q9ch1i" w:id="17"/>
      <w:bookmarkEnd w:id="17"/>
      <w:r w:rsidDel="00000000" w:rsidR="00000000" w:rsidRPr="00000000">
        <w:rPr>
          <w:rtl w:val="0"/>
        </w:rPr>
        <w:t xml:space="preserve">Change-Control Rule</w:t>
      </w:r>
    </w:p>
    <w:p w:rsidR="00000000" w:rsidDel="00000000" w:rsidP="00000000" w:rsidRDefault="00000000" w:rsidRPr="00000000" w14:paraId="00000078">
      <w:pPr>
        <w:rPr/>
      </w:pPr>
      <w:r w:rsidDel="00000000" w:rsidR="00000000" w:rsidRPr="00000000">
        <w:rPr>
          <w:rtl w:val="0"/>
        </w:rPr>
        <w:t xml:space="preserve">Any future change to a locked decision must be documented with:</w:t>
      </w:r>
    </w:p>
    <w:p w:rsidR="00000000" w:rsidDel="00000000" w:rsidP="00000000" w:rsidRDefault="00000000" w:rsidRPr="00000000" w14:paraId="00000079">
      <w:pPr>
        <w:numPr>
          <w:ilvl w:val="0"/>
          <w:numId w:val="9"/>
        </w:numPr>
        <w:ind w:left="720" w:hanging="360"/>
        <w:rPr>
          <w:u w:val="none"/>
        </w:rPr>
      </w:pPr>
      <w:r w:rsidDel="00000000" w:rsidR="00000000" w:rsidRPr="00000000">
        <w:rPr>
          <w:rtl w:val="0"/>
        </w:rPr>
        <w:t xml:space="preserve">The problem being solved.</w:t>
      </w:r>
    </w:p>
    <w:p w:rsidR="00000000" w:rsidDel="00000000" w:rsidP="00000000" w:rsidRDefault="00000000" w:rsidRPr="00000000" w14:paraId="0000007A">
      <w:pPr>
        <w:numPr>
          <w:ilvl w:val="0"/>
          <w:numId w:val="9"/>
        </w:numPr>
        <w:ind w:left="720" w:hanging="360"/>
        <w:rPr>
          <w:u w:val="none"/>
        </w:rPr>
      </w:pPr>
      <w:r w:rsidDel="00000000" w:rsidR="00000000" w:rsidRPr="00000000">
        <w:rPr>
          <w:rtl w:val="0"/>
        </w:rPr>
        <w:t xml:space="preserve">Current evidence.</w:t>
      </w:r>
    </w:p>
    <w:p w:rsidR="00000000" w:rsidDel="00000000" w:rsidP="00000000" w:rsidRDefault="00000000" w:rsidRPr="00000000" w14:paraId="0000007B">
      <w:pPr>
        <w:numPr>
          <w:ilvl w:val="0"/>
          <w:numId w:val="9"/>
        </w:numPr>
        <w:ind w:left="720" w:hanging="360"/>
        <w:rPr>
          <w:u w:val="none"/>
        </w:rPr>
      </w:pPr>
      <w:r w:rsidDel="00000000" w:rsidR="00000000" w:rsidRPr="00000000">
        <w:rPr>
          <w:rtl w:val="0"/>
        </w:rPr>
        <w:t xml:space="preserve">Alternatives considered.</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Security and operational impact.</w:t>
      </w:r>
    </w:p>
    <w:p w:rsidR="00000000" w:rsidDel="00000000" w:rsidP="00000000" w:rsidRDefault="00000000" w:rsidRPr="00000000" w14:paraId="0000007D">
      <w:pPr>
        <w:numPr>
          <w:ilvl w:val="0"/>
          <w:numId w:val="9"/>
        </w:numPr>
        <w:ind w:left="720" w:hanging="360"/>
        <w:rPr>
          <w:u w:val="none"/>
        </w:rPr>
      </w:pPr>
      <w:r w:rsidDel="00000000" w:rsidR="00000000" w:rsidRPr="00000000">
        <w:rPr>
          <w:rtl w:val="0"/>
        </w:rPr>
        <w:t xml:space="preserve">Migration and rollback approach.</w:t>
      </w:r>
    </w:p>
    <w:p w:rsidR="00000000" w:rsidDel="00000000" w:rsidP="00000000" w:rsidRDefault="00000000" w:rsidRPr="00000000" w14:paraId="0000007E">
      <w:pPr>
        <w:numPr>
          <w:ilvl w:val="0"/>
          <w:numId w:val="9"/>
        </w:numPr>
        <w:ind w:left="720" w:hanging="360"/>
        <w:rPr>
          <w:u w:val="none"/>
        </w:rPr>
      </w:pPr>
      <w:r w:rsidDel="00000000" w:rsidR="00000000" w:rsidRPr="00000000">
        <w:rPr>
          <w:rtl w:val="0"/>
        </w:rPr>
        <w:t xml:space="preserve">Explicit approval.</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