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pPr>
    </w:p>
    <w:p>
      <w:pPr>
        <w:spacing w:after="80" w:before="0" w:line="360" w:lineRule="auto"/>
      </w:pPr>
    </w:p>
    <w:p>
      <w:pPr>
        <w:spacing w:after="80" w:before="0" w:line="360" w:lineRule="auto"/>
      </w:pPr>
    </w:p>
    <w:p>
      <w:pPr>
        <w:spacing w:after="0" w:before="0" w:line="360" w:lineRule="auto"/>
        <w:jc w:val="center"/>
      </w:pPr>
      <w:r>
        <w:rPr>
          <w:rFonts w:ascii="Times New Roman" w:cs="Times New Roman" w:eastAsia="Times New Roman" w:hAnsi="Times New Roman"/>
          <w:b/>
          <w:bCs/>
          <w:sz w:val="24"/>
          <w:szCs w:val="24"/>
        </w:rPr>
        <w:t xml:space="preserve">Post-Quantum Operational Governance: A Hybrid Key Management</w:t>
      </w:r>
    </w:p>
    <w:p>
      <w:pPr>
        <w:spacing w:after="400" w:before="0" w:line="360" w:lineRule="auto"/>
        <w:jc w:val="center"/>
      </w:pPr>
      <w:r>
        <w:rPr>
          <w:rFonts w:ascii="Times New Roman" w:cs="Times New Roman" w:eastAsia="Times New Roman" w:hAnsi="Times New Roman"/>
          <w:b/>
          <w:bCs/>
          <w:sz w:val="24"/>
          <w:szCs w:val="24"/>
        </w:rPr>
        <w:t xml:space="preserve">Architecture Combining X25519 and ML-KEM-768 in Rust</w:t>
      </w:r>
    </w:p>
    <w:p>
      <w:pPr>
        <w:spacing w:after="80" w:before="0" w:line="360" w:lineRule="auto"/>
      </w:pPr>
    </w:p>
    <w:p>
      <w:pPr>
        <w:spacing w:after="120" w:before="0" w:line="360" w:lineRule="auto"/>
        <w:jc w:val="center"/>
      </w:pPr>
      <w:r>
        <w:rPr>
          <w:rFonts w:ascii="Times New Roman" w:cs="Times New Roman" w:eastAsia="Times New Roman" w:hAnsi="Times New Roman"/>
          <w:sz w:val="24"/>
          <w:szCs w:val="24"/>
        </w:rPr>
        <w:t xml:space="preserve">Andre Cordero</w:t>
      </w:r>
    </w:p>
    <w:p>
      <w:pPr>
        <w:spacing w:after="200" w:before="0" w:line="360" w:lineRule="auto"/>
        <w:jc w:val="center"/>
      </w:pPr>
      <w:r>
        <w:rPr>
          <w:rFonts w:ascii="Times New Roman" w:cs="Times New Roman" w:eastAsia="Times New Roman" w:hAnsi="Times New Roman"/>
          <w:sz w:val="24"/>
          <w:szCs w:val="24"/>
        </w:rPr>
        <w:t xml:space="preserve">Independent Research</w:t>
      </w:r>
    </w:p>
    <w:p>
      <w:pPr>
        <w:spacing w:after="80" w:before="0" w:line="360" w:lineRule="auto"/>
      </w:pPr>
    </w:p>
    <w:p>
      <w:pPr>
        <w:spacing w:after="240" w:before="0" w:line="360" w:lineRule="auto"/>
        <w:jc w:val="center"/>
      </w:pPr>
      <w:r>
        <w:rPr>
          <w:rFonts w:ascii="Times New Roman" w:cs="Times New Roman" w:eastAsia="Times New Roman" w:hAnsi="Times New Roman"/>
          <w:b/>
          <w:bCs/>
          <w:sz w:val="24"/>
          <w:szCs w:val="24"/>
        </w:rPr>
        <w:t xml:space="preserve">Public repository (citadel-envelope): </w:t>
      </w:r>
      <w:r>
        <w:rPr>
          <w:rFonts w:ascii="Times New Roman" w:cs="Times New Roman" w:eastAsia="Times New Roman" w:hAnsi="Times New Roman"/>
          <w:sz w:val="24"/>
          <w:szCs w:val="24"/>
        </w:rPr>
        <w:t xml:space="preserve">https://github.com/mrcord77/rust_citadel</w:t>
      </w:r>
    </w:p>
    <w:p>
      <w:r>
        <w:br w:type="page"/>
      </w:r>
    </w:p>
    <w:p>
      <w:pPr>
        <w:spacing w:after="200" w:before="0" w:line="360" w:lineRule="auto"/>
        <w:jc w:val="center"/>
      </w:pPr>
      <w:r>
        <w:rPr>
          <w:rFonts w:ascii="Times New Roman" w:cs="Times New Roman" w:eastAsia="Times New Roman" w:hAnsi="Times New Roman"/>
          <w:b/>
          <w:bCs/>
          <w:sz w:val="24"/>
          <w:szCs w:val="24"/>
        </w:rPr>
        <w:t xml:space="preserve">Abstract</w:t>
      </w:r>
    </w:p>
    <w:p>
      <w:pPr>
        <w:spacing w:after="240" w:before="0" w:line="360" w:lineRule="auto"/>
        <w:jc w:val="both"/>
      </w:pPr>
      <w:r>
        <w:rPr>
          <w:rFonts w:ascii="Times New Roman" w:cs="Times New Roman" w:eastAsia="Times New Roman" w:hAnsi="Times New Roman"/>
          <w:sz w:val="24"/>
          <w:szCs w:val="24"/>
        </w:rPr>
        <w:t xml:space="preserve">Organizations face a difficult migration problem as post-quantum cryptography moves from theory to deployment. Harvest-now-decrypt-later attacks (Mosca, 2021) threaten data encrypted today, yet replacing classical systems overnight is not realistic. This paper describes Citadel, a Rust-based hybrid key management system that combines X25519 (RFC 7748) with ML-KEM-768 (FIPS 203) so that confidentiality holds as long as either primitive remains secure. The value of the system lies less in the primitives themselves, which are standardized, than in how they are woven together: a four-level key hierarchy whose wrapping chain is itself post-quantum protected, domain-scoped replay prevention that denies decryption when the store is unavailable rather than silently allowing it, a two-layer capability authorization model, and a five-level adaptive threat-response policy. Validation covers 190 tests across four crates with zero failures, 9,264 bit-flip positions with zero undetected modifications, 10,000 nonce generations with zero collisions, property-based replay governance proofs, and multi-threaded contention testing (100 threads, exactly-one-wins confirmed), and execution against 50 NIST ACVP ML-KEM-768 test vectors with zero failures. Bare-metal benchmarks on an AMD Ryzen 9700X using the citadel-envelope crate with ml-kem 0.2.2 (N=100,000) measured the full hybrid encrypt at 65 µs and decrypt at 63 µs for 1 KB payloads, with p95 under 68 µs. The hybrid adds 27 µs of latency and 1,094 bytes of overhead compared to classical X25519-only encryption. The system is released as an evaluation-stage prototype; independent security audit remains the primary prerequisite before production use. The cryptographic core is publicly available (Cordero, 2026).</w:t>
      </w:r>
    </w:p>
    <w:p>
      <w:pPr>
        <w:spacing w:after="80" w:before="0" w:line="360" w:lineRule="auto"/>
      </w:pPr>
    </w:p>
    <w:p>
      <w:pPr>
        <w:spacing w:after="24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post-quantum cryptography, ML-KEM, hybrid key management, X25519, Rust, FIPS 203, CNSA 2.0</w:t>
      </w:r>
    </w:p>
    <w:p>
      <w:pPr>
        <w:spacing w:after="80" w:before="0" w:line="360" w:lineRule="auto"/>
      </w:pPr>
    </w:p>
    <w:p>
      <w:pPr>
        <w:spacing w:after="240" w:before="0" w:line="360" w:lineRule="auto"/>
        <w:jc w:val="both"/>
      </w:pPr>
      <w:r>
        <w:rPr>
          <w:rFonts w:ascii="Times New Roman" w:cs="Times New Roman" w:eastAsia="Times New Roman" w:hAnsi="Times New Roman"/>
          <w:b/>
          <w:bCs/>
          <w:sz w:val="24"/>
          <w:szCs w:val="24"/>
        </w:rPr>
        <w:t xml:space="preserve">Paper type: </w:t>
      </w:r>
      <w:r>
        <w:rPr>
          <w:rFonts w:ascii="Times New Roman" w:cs="Times New Roman" w:eastAsia="Times New Roman" w:hAnsi="Times New Roman"/>
          <w:sz w:val="24"/>
          <w:szCs w:val="24"/>
        </w:rPr>
        <w:t xml:space="preserve">Applied cryptographic engineering study</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1. Introduction</w:t>
      </w:r>
    </w:p>
    <w:p>
      <w:pPr>
        <w:pStyle w:val="Heading2"/>
        <w:spacing w:after="100" w:before="300" w:line="360" w:lineRule="auto"/>
      </w:pPr>
      <w:r>
        <w:rPr>
          <w:rFonts w:ascii="Times New Roman" w:cs="Times New Roman" w:eastAsia="Times New Roman" w:hAnsi="Times New Roman"/>
          <w:b/>
          <w:bCs/>
          <w:i/>
          <w:iCs/>
          <w:sz w:val="24"/>
          <w:szCs w:val="24"/>
        </w:rPr>
        <w:t xml:space="preserve">1.1 The Quantum Threat Landscape</w:t>
      </w:r>
    </w:p>
    <w:p>
      <w:pPr>
        <w:spacing w:after="240" w:before="0" w:line="360" w:lineRule="auto"/>
        <w:jc w:val="both"/>
      </w:pPr>
      <w:r>
        <w:rPr>
          <w:rFonts w:ascii="Times New Roman" w:cs="Times New Roman" w:eastAsia="Times New Roman" w:hAnsi="Times New Roman"/>
          <w:sz w:val="24"/>
          <w:szCs w:val="24"/>
        </w:rPr>
        <w:t xml:space="preserve">Shor's algorithm (Shor, 1994) breaks RSA and elliptic-curve cryptography in polynomial time on a sufficiently powerful quantum computer. Grover's algorithm halves the effective security of symmetric ciphers, pushing AES-128 to a 64-bit margin while leaving AES-256 adequate. When such machines will arrive is still an open question (Mosca, 2021). What is not open is the harvest-now-decrypt-later problem: adversaries can record traffic today and decrypt it later, which means data with multi-decade sensitivity is already at risk. NIST responded by standardizing ML-KEM (FIPS 203) and ML-DSA (FIPS 204) in August 2024, describing ML-KEM as "believed to be secure, even against adversaries who possess a quantum computer" (NIST, 2024).</w:t>
      </w:r>
    </w:p>
    <w:p>
      <w:pPr>
        <w:pStyle w:val="Heading2"/>
        <w:spacing w:after="100" w:before="300" w:line="360" w:lineRule="auto"/>
      </w:pPr>
      <w:r>
        <w:rPr>
          <w:rFonts w:ascii="Times New Roman" w:cs="Times New Roman" w:eastAsia="Times New Roman" w:hAnsi="Times New Roman"/>
          <w:b/>
          <w:bCs/>
          <w:i/>
          <w:iCs/>
          <w:sz w:val="24"/>
          <w:szCs w:val="24"/>
        </w:rPr>
        <w:t xml:space="preserve">1.2 The Transitional Problem</w:t>
      </w:r>
    </w:p>
    <w:p>
      <w:pPr>
        <w:spacing w:after="240" w:before="0" w:line="360" w:lineRule="auto"/>
        <w:jc w:val="both"/>
      </w:pPr>
      <w:r>
        <w:rPr>
          <w:rFonts w:ascii="Times New Roman" w:cs="Times New Roman" w:eastAsia="Times New Roman" w:hAnsi="Times New Roman"/>
          <w:sz w:val="24"/>
          <w:szCs w:val="24"/>
        </w:rPr>
        <w:t xml:space="preserve">Pure post-quantum deployments sacrifice the decades of confidence behind classical primitives. Pure classical deployments ignore the harvest-now-decrypt-later window entirely. Hybrid constructions avoid this tradeoff by combining both families and deriving a session key from the joint output, so an attacker must break both to gain anything. Chen (2025) calls this a "dual-layered security model," and both NIST and the German BSI (2023) recommend the approach for the transition period. NSA CNSA 2.0 (2022) specifies ML-KEM-768 for software applications beginning in 2025.</w:t>
      </w:r>
    </w:p>
    <w:p>
      <w:pPr>
        <w:pStyle w:val="Heading2"/>
        <w:spacing w:after="100" w:before="300" w:line="360" w:lineRule="auto"/>
      </w:pPr>
      <w:r>
        <w:rPr>
          <w:rFonts w:ascii="Times New Roman" w:cs="Times New Roman" w:eastAsia="Times New Roman" w:hAnsi="Times New Roman"/>
          <w:b/>
          <w:bCs/>
          <w:i/>
          <w:iCs/>
          <w:sz w:val="24"/>
          <w:szCs w:val="24"/>
        </w:rPr>
        <w:t xml:space="preserve">1.3 Contributions</w:t>
      </w:r>
    </w:p>
    <w:p>
      <w:pPr>
        <w:spacing w:after="240" w:before="0" w:line="360" w:lineRule="auto"/>
        <w:jc w:val="both"/>
      </w:pPr>
      <w:r>
        <w:rPr>
          <w:rFonts w:ascii="Times New Roman" w:cs="Times New Roman" w:eastAsia="Times New Roman" w:hAnsi="Times New Roman"/>
          <w:sz w:val="24"/>
          <w:szCs w:val="24"/>
        </w:rPr>
        <w:t xml:space="preserve">Our contributions are as follows. First, a hybrid post-quantum envelope that pairs X25519 with ML-KEM-768 through HKDF-SHA256 domain-separated derivation and AES-256-GCM authenticated encryption, validated against NIST and RFC known-answer vectors as well as a 9,264-position exhaustive bit-flip campaign.</w:t>
      </w:r>
    </w:p>
    <w:p>
      <w:pPr>
        <w:spacing w:after="240" w:before="0" w:line="360" w:lineRule="auto"/>
        <w:jc w:val="both"/>
      </w:pPr>
      <w:r>
        <w:rPr>
          <w:rFonts w:ascii="Times New Roman" w:cs="Times New Roman" w:eastAsia="Times New Roman" w:hAnsi="Times New Roman"/>
          <w:sz w:val="24"/>
          <w:szCs w:val="24"/>
        </w:rPr>
        <w:t xml:space="preserve">The larger contribution is an operational governance architecture built around that envelope. The architecture includes a four-level key hierarchy aligned with NIST SP 800-57 (NIST, 2020), domain-scoped replay prevention with fail-closed behavior, a two-layer capability authorization model, and an adaptive policy engine that tightens rotation and usage limits in response to observed threat signals. These mechanisms exist independently in prior work; the contribution is their composition into a single validated system for quantum-transition key lifecycle management.</w:t>
      </w:r>
    </w:p>
    <w:p>
      <w:pPr>
        <w:spacing w:after="240" w:before="0" w:line="360" w:lineRule="auto"/>
        <w:jc w:val="both"/>
      </w:pPr>
      <w:r>
        <w:rPr>
          <w:rFonts w:ascii="Times New Roman" w:cs="Times New Roman" w:eastAsia="Times New Roman" w:hAnsi="Times New Roman"/>
          <w:sz w:val="24"/>
          <w:szCs w:val="24"/>
        </w:rPr>
        <w:t xml:space="preserve">We also present a Rust implementation that uses the type system for two distinct enforcement roles: compile-time prevention of algorithm-level key confusion (a signing key cannot be passed where a KEM key is expected) and runtime validation of hierarchy relationships (a DEK cannot be created under a Root key). The citadel-envelope crate is publicly available (Cordero, 2026).</w:t>
      </w:r>
    </w:p>
    <w:p>
      <w:pPr>
        <w:spacing w:after="240" w:before="0" w:line="360" w:lineRule="auto"/>
        <w:jc w:val="both"/>
      </w:pPr>
      <w:r>
        <w:rPr>
          <w:rFonts w:ascii="Times New Roman" w:cs="Times New Roman" w:eastAsia="Times New Roman" w:hAnsi="Times New Roman"/>
          <w:sz w:val="24"/>
          <w:szCs w:val="24"/>
        </w:rPr>
        <w:t xml:space="preserve">Finally, quantitative evidence. A 190-test suite across four crates (citadel-envelope: 99, citadel-keystore: 58, citadel-api: 21, citadel-ffi: 12) produced zero failures. Bare-metal benchmarks on an AMD Ryzen 9700X measure the complete hybrid encrypt at 65 µs for 1 KB payloads.</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2. Background</w:t>
      </w:r>
    </w:p>
    <w:p>
      <w:pPr>
        <w:pStyle w:val="Heading2"/>
        <w:spacing w:after="100" w:before="300" w:line="360" w:lineRule="auto"/>
      </w:pPr>
      <w:r>
        <w:rPr>
          <w:rFonts w:ascii="Times New Roman" w:cs="Times New Roman" w:eastAsia="Times New Roman" w:hAnsi="Times New Roman"/>
          <w:b/>
          <w:bCs/>
          <w:i/>
          <w:iCs/>
          <w:sz w:val="24"/>
          <w:szCs w:val="24"/>
        </w:rPr>
        <w:t xml:space="preserve">2.1 Classical Key Establishment: X25519</w:t>
      </w:r>
    </w:p>
    <w:p>
      <w:pPr>
        <w:spacing w:after="240" w:before="0" w:line="360" w:lineRule="auto"/>
        <w:jc w:val="both"/>
      </w:pPr>
      <w:r>
        <w:rPr>
          <w:rFonts w:ascii="Times New Roman" w:cs="Times New Roman" w:eastAsia="Times New Roman" w:hAnsi="Times New Roman"/>
          <w:sz w:val="24"/>
          <w:szCs w:val="24"/>
        </w:rPr>
        <w:t xml:space="preserve">X25519 (Langley et al., 2016) performs elliptic-curve Diffie-Hellman over Curve25519, providing 128-bit classical security with 32-byte keys and constant-time arithmetic. Ephemeral key generation gives forward secrecy. Its limitation is shared with all ECC constructions: vulnerability to Shor's algorithm.</w:t>
      </w:r>
    </w:p>
    <w:p>
      <w:pPr>
        <w:pStyle w:val="Heading2"/>
        <w:spacing w:after="100" w:before="300" w:line="360" w:lineRule="auto"/>
      </w:pPr>
      <w:r>
        <w:rPr>
          <w:rFonts w:ascii="Times New Roman" w:cs="Times New Roman" w:eastAsia="Times New Roman" w:hAnsi="Times New Roman"/>
          <w:b/>
          <w:bCs/>
          <w:i/>
          <w:iCs/>
          <w:sz w:val="24"/>
          <w:szCs w:val="24"/>
        </w:rPr>
        <w:t xml:space="preserve">2.2 Post-Quantum Key Encapsulation: ML-KEM-768</w:t>
      </w:r>
    </w:p>
    <w:p>
      <w:pPr>
        <w:spacing w:after="240" w:before="0" w:line="360" w:lineRule="auto"/>
        <w:jc w:val="both"/>
      </w:pPr>
      <w:r>
        <w:rPr>
          <w:rFonts w:ascii="Times New Roman" w:cs="Times New Roman" w:eastAsia="Times New Roman" w:hAnsi="Times New Roman"/>
          <w:sz w:val="24"/>
          <w:szCs w:val="24"/>
        </w:rPr>
        <w:t xml:space="preserve">ML-KEM is built on Module Learning With Errors (MLWE) hardness. Nagy et al. (2025) note that "ML-KEM relies on the difficult nature of lattice problems and thus resists quantum-based attacks." ML-KEM-768 targets NIST Security Category 3 (roughly 192-bit post-quantum security) and is the parameter set specified by NSA CNSA 2.0 (2022). Its encapsulation key is 1,184 bytes, the decapsulation key 2,400 bytes, and the KEM ciphertext 1,088 bytes.</w:t>
      </w:r>
    </w:p>
    <w:p>
      <w:pPr>
        <w:pStyle w:val="Heading2"/>
        <w:spacing w:after="100" w:before="300" w:line="360" w:lineRule="auto"/>
      </w:pPr>
      <w:r>
        <w:rPr>
          <w:rFonts w:ascii="Times New Roman" w:cs="Times New Roman" w:eastAsia="Times New Roman" w:hAnsi="Times New Roman"/>
          <w:b/>
          <w:bCs/>
          <w:i/>
          <w:iCs/>
          <w:sz w:val="24"/>
          <w:szCs w:val="24"/>
        </w:rPr>
        <w:t xml:space="preserve">2.3 Hybrid Cryptographic Construction</w:t>
      </w:r>
    </w:p>
    <w:p>
      <w:pPr>
        <w:spacing w:after="240" w:before="0" w:line="360" w:lineRule="auto"/>
        <w:jc w:val="both"/>
      </w:pPr>
      <w:r>
        <w:rPr>
          <w:rFonts w:ascii="Times New Roman" w:cs="Times New Roman" w:eastAsia="Times New Roman" w:hAnsi="Times New Roman"/>
          <w:sz w:val="24"/>
          <w:szCs w:val="24"/>
        </w:rPr>
        <w:t xml:space="preserve">Write K_c for the X25519 shared secret and K_pq for the ML-KEM-768 shared secret. The session key is K_session = KDF(K_c || K_pq, context, label). If the KDF behaves as a secure pseudorandom function, learning K_c alone gives no efficient way to distinguish K_session from random without also learning K_pq, and the reverse holds symmetrically. Chen (2025) characterizes this as a "dual-layered security model."</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3. System Architecture</w:t>
      </w:r>
    </w:p>
    <w:p>
      <w:pPr>
        <w:pStyle w:val="Heading2"/>
        <w:spacing w:after="100" w:before="300" w:line="360" w:lineRule="auto"/>
      </w:pPr>
      <w:r>
        <w:rPr>
          <w:rFonts w:ascii="Times New Roman" w:cs="Times New Roman" w:eastAsia="Times New Roman" w:hAnsi="Times New Roman"/>
          <w:b/>
          <w:bCs/>
          <w:i/>
          <w:iCs/>
          <w:sz w:val="24"/>
          <w:szCs w:val="24"/>
        </w:rPr>
        <w:t xml:space="preserve">3.1 Overview</w:t>
      </w:r>
    </w:p>
    <w:p>
      <w:pPr>
        <w:spacing w:after="240" w:before="0" w:line="360" w:lineRule="auto"/>
        <w:jc w:val="both"/>
      </w:pPr>
      <w:r>
        <w:rPr>
          <w:rFonts w:ascii="Times New Roman" w:cs="Times New Roman" w:eastAsia="Times New Roman" w:hAnsi="Times New Roman"/>
          <w:sz w:val="24"/>
          <w:szCs w:val="24"/>
        </w:rPr>
        <w:t xml:space="preserve">Citadel is organized as five Rust crates. The citadel-envelope crate handles the hybrid KEM, HKDF derivation, and AES-256-GCM encryption. The citadel-keystore crate manages key lifecycle, the four-level hierarchy, replay governance, and adaptive threat response. The citadel-core crate issues and validates capability tokens. The citadel-api crate provides an HTTP interface with scoped authentication and rate limiting. The citadel-signer crate implements ML-DSA-65 signing in isolation from the KEM layer. Application code never touches raw key material. The citadel-envelope crate is public (Cordero, 2026); the remaining crates form the proprietary operational layer.</w:t>
      </w:r>
    </w:p>
    <w:p>
      <w:pPr>
        <w:pStyle w:val="Heading2"/>
        <w:spacing w:after="100" w:before="300" w:line="360" w:lineRule="auto"/>
      </w:pPr>
      <w:r>
        <w:rPr>
          <w:rFonts w:ascii="Times New Roman" w:cs="Times New Roman" w:eastAsia="Times New Roman" w:hAnsi="Times New Roman"/>
          <w:b/>
          <w:bCs/>
          <w:i/>
          <w:iCs/>
          <w:sz w:val="24"/>
          <w:szCs w:val="24"/>
        </w:rPr>
        <w:t xml:space="preserve">3.2 Hybrid Envelope</w:t>
      </w:r>
    </w:p>
    <w:p>
      <w:pPr>
        <w:spacing w:after="240" w:before="0" w:line="360" w:lineRule="auto"/>
        <w:jc w:val="both"/>
      </w:pPr>
      <w:r>
        <w:rPr>
          <w:rFonts w:ascii="Times New Roman" w:cs="Times New Roman" w:eastAsia="Times New Roman" w:hAnsi="Times New Roman"/>
          <w:sz w:val="24"/>
          <w:szCs w:val="24"/>
        </w:rPr>
        <w:t xml:space="preserve">The hybrid public key is a simple concatenation: 32 bytes of X25519 followed by 1,184 bytes of ML-KEM-768, totaling 1,216 bytes. The private key mirrors this layout at 2,432 bytes. On each encryption, the system generates a fresh ephemeral X25519 key pair and performs the DH exchange for a 32-byte classical secret. Independently, ML-KEM-768 encapsulation produces a 1,088-byte ciphertext and a 32-byte post-quantum secret. The two secrets are concatenated into 64 bytes of HKDF-SHA256 input key material, and derivation binds the output to the protocol version, algorithm suite, and caller-supplied context. The result is a 32-byte AES-256-GCM key tied to this particular encapsulation.</w:t>
      </w:r>
    </w:p>
    <w:p>
      <w:pPr>
        <w:spacing w:after="240" w:before="0" w:line="360" w:lineRule="auto"/>
        <w:jc w:val="both"/>
      </w:pPr>
      <w:r>
        <w:rPr>
          <w:rFonts w:ascii="Times New Roman" w:cs="Times New Roman" w:eastAsia="Times New Roman" w:hAnsi="Times New Roman"/>
          <w:sz w:val="24"/>
          <w:szCs w:val="24"/>
        </w:rPr>
        <w:t xml:space="preserve">Each ciphertext is self-describing: a compact header carries the version and algorithm suite identifiers, followed by the KEM ciphertext, AEAD nonce, and AEAD ciphertext with tag. Unexpected identifiers in the header cause rejection before any cryptographic work begins. The fixed overhead per record is 1,154 bytes.</w:t>
      </w:r>
    </w:p>
    <w:p>
      <w:pPr>
        <w:pStyle w:val="Heading2"/>
        <w:spacing w:after="100" w:before="300" w:line="360" w:lineRule="auto"/>
      </w:pPr>
      <w:r>
        <w:rPr>
          <w:rFonts w:ascii="Times New Roman" w:cs="Times New Roman" w:eastAsia="Times New Roman" w:hAnsi="Times New Roman"/>
          <w:b/>
          <w:bCs/>
          <w:i/>
          <w:iCs/>
          <w:sz w:val="24"/>
          <w:szCs w:val="24"/>
        </w:rPr>
        <w:t xml:space="preserve">3.3 Operational Governance</w:t>
      </w:r>
    </w:p>
    <w:p>
      <w:pPr>
        <w:spacing w:after="240" w:before="0" w:line="360" w:lineRule="auto"/>
        <w:jc w:val="both"/>
      </w:pPr>
      <w:r>
        <w:rPr>
          <w:rFonts w:ascii="Times New Roman" w:cs="Times New Roman" w:eastAsia="Times New Roman" w:hAnsi="Times New Roman"/>
          <w:sz w:val="24"/>
          <w:szCs w:val="24"/>
        </w:rPr>
        <w:t xml:space="preserve">Four interlocking systems make up the operational layer. Together they represent the primary engineering contribution.</w:t>
      </w:r>
    </w:p>
    <w:p>
      <w:pPr>
        <w:spacing w:after="240" w:before="0" w:line="360" w:lineRule="auto"/>
        <w:jc w:val="both"/>
      </w:pPr>
      <w:r>
        <w:rPr>
          <w:rFonts w:ascii="Times New Roman" w:cs="Times New Roman" w:eastAsia="Times New Roman" w:hAnsi="Times New Roman"/>
          <w:sz w:val="24"/>
          <w:szCs w:val="24"/>
        </w:rPr>
        <w:t xml:space="preserve">The key hierarchy has four levels (Root, Domain, KEK, DEK) following NIST SP 800-57 (NIST, 2020). What distinguishes it from a classical hierarchy is that KEK and DEK secrets are sealed under their parent's hybrid public key, so the key management layer itself is post-quantum protected. Hierarchy role constraints are validated during key generation. Re-wrapping allows a DEK to move under a new KEK after revocation without re-encrypting the underlying application data.</w:t>
      </w:r>
    </w:p>
    <w:p>
      <w:pPr>
        <w:spacing w:after="240" w:before="0" w:line="360" w:lineRule="auto"/>
        <w:jc w:val="both"/>
      </w:pPr>
      <w:r>
        <w:rPr>
          <w:rFonts w:ascii="Times New Roman" w:cs="Times New Roman" w:eastAsia="Times New Roman" w:hAnsi="Times New Roman"/>
          <w:sz w:val="24"/>
          <w:szCs w:val="24"/>
        </w:rPr>
        <w:t xml:space="preserve">Replay prevention gates every decryption through an atomic claim in a replay store. If the store is unreachable, decryption is denied rather than permitted. This fail-closed behavior holds for all backends, including the distributed Redis-backed store: a connection failure produces denial, not a gap in protection. Replay scoping is domain-aware to prevent cross-domain interference.</w:t>
      </w:r>
    </w:p>
    <w:p>
      <w:pPr>
        <w:spacing w:after="240" w:before="0" w:line="360" w:lineRule="auto"/>
        <w:jc w:val="both"/>
      </w:pPr>
      <w:r>
        <w:rPr>
          <w:rFonts w:ascii="Times New Roman" w:cs="Times New Roman" w:eastAsia="Times New Roman" w:hAnsi="Times New Roman"/>
          <w:sz w:val="24"/>
          <w:szCs w:val="24"/>
        </w:rPr>
        <w:t xml:space="preserve">Authorization follows a two-layer model. The first layer (StateEnforcer) issues cryptographically generated capability tokens after checking key state, domain membership, and operation type. The second layer (Keystore) re-validates each token at execution time against the issuing StateEnforcer instance. Tokens from a restarted instance are rejected, and the system refuses all operations if no enforcer is bound at startup.</w:t>
      </w:r>
    </w:p>
    <w:p>
      <w:pPr>
        <w:spacing w:after="240" w:before="0" w:line="360" w:lineRule="auto"/>
        <w:jc w:val="both"/>
      </w:pPr>
      <w:r>
        <w:rPr>
          <w:rFonts w:ascii="Times New Roman" w:cs="Times New Roman" w:eastAsia="Times New Roman" w:hAnsi="Times New Roman"/>
          <w:sz w:val="24"/>
          <w:szCs w:val="24"/>
        </w:rPr>
        <w:t xml:space="preserve">An adaptive threat-response engine rounds out the governance model. It maps security events (failed authentications, failed decryptions, anomalous access) to a rolling score across five levels. As the score rises, rotation intervals shorten, usage caps tighten, and grace periods shrink. This dynamic posture differs from key management systems whose policy parameters are fixed at configuration time.</w:t>
      </w:r>
    </w:p>
    <w:p>
      <w:pPr>
        <w:pStyle w:val="Heading2"/>
        <w:spacing w:after="100" w:before="300" w:line="360" w:lineRule="auto"/>
      </w:pPr>
      <w:r>
        <w:rPr>
          <w:rFonts w:ascii="Times New Roman" w:cs="Times New Roman" w:eastAsia="Times New Roman" w:hAnsi="Times New Roman"/>
          <w:b/>
          <w:bCs/>
          <w:i/>
          <w:iCs/>
          <w:sz w:val="24"/>
          <w:szCs w:val="24"/>
        </w:rPr>
        <w:t xml:space="preserve">3.4 Comparative Positioning</w:t>
      </w:r>
    </w:p>
    <w:p>
      <w:pPr>
        <w:spacing w:after="240" w:before="0" w:line="360" w:lineRule="auto"/>
        <w:jc w:val="both"/>
      </w:pPr>
      <w:r>
        <w:rPr>
          <w:rFonts w:ascii="Times New Roman" w:cs="Times New Roman" w:eastAsia="Times New Roman" w:hAnsi="Times New Roman"/>
          <w:sz w:val="24"/>
          <w:szCs w:val="24"/>
        </w:rPr>
        <w:t xml:space="preserve">Table 1 positions Citadel relative to the two nearest system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c>
          <w:tcPr>
            <w:tcW w:type="dxa" w:w="3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Capability</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Static-policy enterprise KMS</w:t>
            </w:r>
          </w:p>
        </w:tc>
        <w:tc>
          <w:tcPr>
            <w:tcW w:type="dxa" w:w="21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PQ Primitive Library</w:t>
            </w:r>
          </w:p>
        </w:tc>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Citadel</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PQ envelope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Partial (caller managed)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Integrated</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Hierarchical PQ key wrapping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Symmetric only</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PQ wrapping</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Domain-scoped replay governance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Limited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Fail-closed, atomic</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Capability-based authorization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IAM / ACL</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Two-layer, per-op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Adaptive threat-response policy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 (static policy)</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Five-level adaptive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Compile-time key type safety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 (byte arrays)</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Partial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Full (Rust types)</w:t>
            </w:r>
          </w:p>
        </w:tc>
      </w:tr>
    </w:tbl>
    <w:p>
      <w:pPr>
        <w:spacing w:after="80" w:before="0" w:line="360" w:lineRule="auto"/>
      </w:pPr>
    </w:p>
    <w:p>
      <w:pPr>
        <w:spacing w:after="240" w:before="0" w:line="360" w:lineRule="auto"/>
        <w:jc w:val="both"/>
      </w:pPr>
      <w:r>
        <w:rPr>
          <w:rFonts w:ascii="Times New Roman" w:cs="Times New Roman" w:eastAsia="Times New Roman" w:hAnsi="Times New Roman"/>
          <w:i/>
          <w:iCs/>
          <w:sz w:val="24"/>
          <w:szCs w:val="24"/>
        </w:rPr>
        <w:t xml:space="preserve">Table 1. Architectural comparison. Values reflect generalized patterns rather than all implementations in each category; specific products may offer capabilities not shown here.</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4. Implementation Notes</w:t>
      </w:r>
    </w:p>
    <w:p>
      <w:pPr>
        <w:spacing w:after="240" w:before="0" w:line="360" w:lineRule="auto"/>
        <w:jc w:val="both"/>
      </w:pPr>
      <w:r>
        <w:rPr>
          <w:rFonts w:ascii="Times New Roman" w:cs="Times New Roman" w:eastAsia="Times New Roman" w:hAnsi="Times New Roman"/>
          <w:sz w:val="24"/>
          <w:szCs w:val="24"/>
        </w:rPr>
        <w:t xml:space="preserve">The cryptographic layer uses ml-kem v0.2.3 (FIPS 203, carrying an "experimental" designation with no independent audit), x25519-dalek v2, aes-gcm v0.10, hkdf v0.12, and zeroize v1.7. Random number generation throughout uses OsRng. Both Linux (rustc 1.75.0) and Windows (rustc 1.95.0 MSVC) builds pass with zero warnings under the validation tag citadel-v3-P427. Benchmarks were executed on the Windows build (rustc 1.95.0). Dependency auditing via cargo-audit found zero security advisories in production dependencies (278 crates scanned; one medium-severity advisory in a dev-only test dependency not used at runtime). License compliance via cargo-deny confirmed all dependencies use permissive licenses (MIT, Apache-2.0, ISC) compatible with AGPL-3.0 distribution.</w:t>
      </w:r>
    </w:p>
    <w:p>
      <w:pPr>
        <w:spacing w:after="240" w:before="0" w:line="360" w:lineRule="auto"/>
        <w:jc w:val="both"/>
      </w:pPr>
      <w:r>
        <w:rPr>
          <w:rFonts w:ascii="Times New Roman" w:cs="Times New Roman" w:eastAsia="Times New Roman" w:hAnsi="Times New Roman"/>
          <w:sz w:val="24"/>
          <w:szCs w:val="24"/>
        </w:rPr>
        <w:t xml:space="preserve">Rust's ownership model removes use-after-free, buffer overflows, and data races from safe code at compile time. The project goes further by encoding key roles in the type system: KEM keys and signing keys are distinct types, so confusion between them is caught by the compiler rather than by a test case or, worse, a production incident. Hierarchy constraints, by contrast, are checked at runtime during key generation. Sensitive material is wrapped in Zeroizing&lt;T&gt; for deterministic cleanup, and the ML-DSA-65 crate shares no key types with the KEM crate.</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5. Security Analysis</w:t>
      </w:r>
    </w:p>
    <w:p>
      <w:pPr>
        <w:pStyle w:val="Heading2"/>
        <w:spacing w:after="100" w:before="300" w:line="360" w:lineRule="auto"/>
      </w:pPr>
      <w:r>
        <w:rPr>
          <w:rFonts w:ascii="Times New Roman" w:cs="Times New Roman" w:eastAsia="Times New Roman" w:hAnsi="Times New Roman"/>
          <w:b/>
          <w:bCs/>
          <w:i/>
          <w:iCs/>
          <w:sz w:val="24"/>
          <w:szCs w:val="24"/>
        </w:rPr>
        <w:t xml:space="preserve">5.1 Threat Model</w:t>
      </w:r>
    </w:p>
    <w:p>
      <w:pPr>
        <w:spacing w:after="240" w:before="0" w:line="360" w:lineRule="auto"/>
        <w:jc w:val="both"/>
      </w:pPr>
      <w:r>
        <w:rPr>
          <w:rFonts w:ascii="Times New Roman" w:cs="Times New Roman" w:eastAsia="Times New Roman" w:hAnsi="Times New Roman"/>
          <w:sz w:val="24"/>
          <w:szCs w:val="24"/>
        </w:rPr>
        <w:t xml:space="preserve">The design accounts for passive eavesdroppers, active attackers capable of injection and replay, future quantum adversaries running Shor's algorithm, and HNDL adversaries archiving today's traffic (Mosca, 2021). Physical access to the server, OS-level compromise, master key leakage through out-of-band channels, hardware side channels, and supply chain attacks are outside the current scope. Supply chain risk is partially mitigated through dependency auditing and license compliance checking, but reproducible builds and build attestation remain future work.</w:t>
      </w:r>
    </w:p>
    <w:p>
      <w:pPr>
        <w:pStyle w:val="Heading2"/>
        <w:spacing w:after="100" w:before="300" w:line="360" w:lineRule="auto"/>
      </w:pPr>
      <w:r>
        <w:rPr>
          <w:rFonts w:ascii="Times New Roman" w:cs="Times New Roman" w:eastAsia="Times New Roman" w:hAnsi="Times New Roman"/>
          <w:b/>
          <w:bCs/>
          <w:i/>
          <w:iCs/>
          <w:sz w:val="24"/>
          <w:szCs w:val="24"/>
        </w:rPr>
        <w:t xml:space="preserve">5.2 Hybrid Security Argument</w:t>
      </w:r>
    </w:p>
    <w:p>
      <w:pPr>
        <w:spacing w:after="240" w:before="0" w:line="360" w:lineRule="auto"/>
        <w:jc w:val="both"/>
      </w:pPr>
      <w:r>
        <w:rPr>
          <w:rFonts w:ascii="Times New Roman" w:cs="Times New Roman" w:eastAsia="Times New Roman" w:hAnsi="Times New Roman"/>
          <w:sz w:val="24"/>
          <w:szCs w:val="24"/>
        </w:rPr>
        <w:t xml:space="preserve">If X25519 falls, the adversary learns K_c but still faces the standard HKDF pseudorandom function assumption when trying to recover K_session without K_pq. The reverse holds if ML-KEM-768 falls. Because the two components contribute independently to the derivation, compromise of ML-KEM-768 confidentiality alone does not reduce the system below the classical X25519 security floor. Ephemeral key generation preserves forward secrecy regardless of which component, if either, is eventually broken.</w:t>
      </w:r>
    </w:p>
    <w:p>
      <w:pPr>
        <w:pStyle w:val="Heading2"/>
        <w:spacing w:after="100" w:before="300" w:line="360" w:lineRule="auto"/>
      </w:pPr>
      <w:r>
        <w:rPr>
          <w:rFonts w:ascii="Times New Roman" w:cs="Times New Roman" w:eastAsia="Times New Roman" w:hAnsi="Times New Roman"/>
          <w:b/>
          <w:bCs/>
          <w:i/>
          <w:iCs/>
          <w:sz w:val="24"/>
          <w:szCs w:val="24"/>
        </w:rPr>
        <w:t xml:space="preserve">5.3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c>
          <w:tcPr>
            <w:tcW w:type="dxa" w:w="2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Limitation</w:t>
            </w:r>
          </w:p>
        </w:tc>
        <w:tc>
          <w:tcPr>
            <w:tcW w:type="dxa" w:w="24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Impact</w:t>
            </w:r>
          </w:p>
        </w:tc>
        <w:tc>
          <w:tcPr>
            <w:tcW w:type="dxa" w:w="42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Mitigation / Path</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 independent security audit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Primary deployment blocker</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Professional cryptographic audit; scope to be determined</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ml-kem v0.2.3 (experimental)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Implementation risk</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design: X25519 floor holds regardless of ML-KEM flaw</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ml-dsa v0.1.0-rc.9 (RC)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Stability risk</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Pinned; upgrade gated on explicit review</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Supply chain partially addressed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Audit passing, no reproducible builds yet</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cargo-audit: 0 production advisories; cargo-deny licenses: ok; reproducible builds planned</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 HSM integration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Key in process memory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TPM/HSM path planned</w:t>
            </w:r>
          </w:p>
        </w:tc>
      </w:tr>
    </w:tbl>
    <w:p>
      <w:pPr>
        <w:spacing w:after="80" w:before="0" w:line="360" w:lineRule="auto"/>
      </w:pPr>
    </w:p>
    <w:p>
      <w:pPr>
        <w:spacing w:after="240" w:before="0" w:line="360" w:lineRule="auto"/>
        <w:jc w:val="both"/>
      </w:pPr>
      <w:r>
        <w:rPr>
          <w:rFonts w:ascii="Times New Roman" w:cs="Times New Roman" w:eastAsia="Times New Roman" w:hAnsi="Times New Roman"/>
          <w:i/>
          <w:iCs/>
          <w:sz w:val="24"/>
          <w:szCs w:val="24"/>
        </w:rPr>
        <w:t xml:space="preserve">Table 2. Known limitations.</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6. Validation and Performance</w:t>
      </w:r>
    </w:p>
    <w:p>
      <w:pPr>
        <w:pStyle w:val="Heading2"/>
        <w:spacing w:after="100" w:before="300" w:line="360" w:lineRule="auto"/>
      </w:pPr>
      <w:r>
        <w:rPr>
          <w:rFonts w:ascii="Times New Roman" w:cs="Times New Roman" w:eastAsia="Times New Roman" w:hAnsi="Times New Roman"/>
          <w:b/>
          <w:bCs/>
          <w:i/>
          <w:iCs/>
          <w:sz w:val="24"/>
          <w:szCs w:val="24"/>
        </w:rPr>
        <w:t xml:space="preserve">6.1 Test Coverage</w:t>
      </w:r>
    </w:p>
    <w:p>
      <w:pPr>
        <w:spacing w:after="240" w:before="0" w:line="360" w:lineRule="auto"/>
        <w:jc w:val="both"/>
      </w:pPr>
      <w:r>
        <w:rPr>
          <w:rFonts w:ascii="Times New Roman" w:cs="Times New Roman" w:eastAsia="Times New Roman" w:hAnsi="Times New Roman"/>
          <w:sz w:val="24"/>
          <w:szCs w:val="24"/>
        </w:rPr>
        <w:t xml:space="preserve">The full suite of 190 tests passed with zero failures across Linux (rustc 1.75.0) and Windows (rustc 1.95.0 MSVC). The breakdown by crate: citadel-envelope contributed 99 tests covering primitives, known-answer vectors, adversarial scenarios, and the streaming path; citadel-keystore contributed 58 tests (46 lifecycle/hierarchy/replay/policy/threat, 8 property-based, 4 concurrency stress) spanning key lifecycle, hierarchy enforcement, replay governance, policy adaptation, threat response, property-based replay proofs, and multi-threaded contention stress; citadel-api added 21 integration tests; citadel-ffi added 12 binding tests.</w:t>
      </w:r>
    </w:p>
    <w:p>
      <w:pPr>
        <w:spacing w:after="240" w:before="0" w:line="360" w:lineRule="auto"/>
        <w:jc w:val="both"/>
      </w:pPr>
      <w:r>
        <w:rPr>
          <w:rFonts w:ascii="Times New Roman" w:cs="Times New Roman" w:eastAsia="Times New Roman" w:hAnsi="Times New Roman"/>
          <w:sz w:val="24"/>
          <w:szCs w:val="24"/>
        </w:rPr>
        <w:t xml:space="preserve">Property-based testing using proptest confirmed five replay governance invariants across randomly generated inputs: fresh claims accepted, duplicate claims rejected, domain isolation preserved, release-and-reclaim semantics correct, and zero false rejections across up to 100 random identifiers per run. Hierarchy role validation confirmed all 5 valid parent-child relationships and rejected all 11 invalid relationships, covering all 6 key roles including leaf-type verification.</w:t>
      </w:r>
    </w:p>
    <w:p>
      <w:pPr>
        <w:spacing w:after="240" w:before="0" w:line="360" w:lineRule="auto"/>
        <w:jc w:val="both"/>
      </w:pPr>
      <w:r>
        <w:rPr>
          <w:rFonts w:ascii="Times New Roman" w:cs="Times New Roman" w:eastAsia="Times New Roman" w:hAnsi="Times New Roman"/>
          <w:sz w:val="24"/>
          <w:szCs w:val="24"/>
        </w:rPr>
        <w:t xml:space="preserve">Concurrency stress testing fired 100 threads simultaneously at a single replay identifier and confirmed that exactly one thread won the claim while 99 were rejected with zero errors. A separate 200-thread test with distinct identifiers produced zero false rejections. A 10,000-cycle claim-release churn test verified no state corruption, and a mixed-traffic test with 50 fresh claims and 50 replay attempts confirmed correct classification of all 100 operations. Table 3 summarizes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Category</w:t>
            </w:r>
          </w:p>
        </w:tc>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Coverage</w:t>
            </w:r>
          </w:p>
        </w:tc>
        <w:tc>
          <w:tcPr>
            <w:tcW w:type="dxa" w:w="37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Outcome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Full test suite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190 tests, 4 crates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 failures; Linux rustc 1.75.0 and Windows rustc 1.95.0 MSVC</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Primitive KATs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22 test cases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HKDF, AES-GCM, SHA3, X25519, ML-KEM-768. All passed.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Bit-flip integrity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9,264 positions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 undetected modifications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Nonce uniqueness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 encryptions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 collisions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Panic safety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Arbitrary inputs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 panics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Fuzz testing</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3 harness targets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 crashes, 0 false accepts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Replay properties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5 proptest invariants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Fresh claim, duplicate reject, domain isolation, release-reclaim, no false rejects. All passed.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Hierarchy properties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5 valid + 11 invalid pairs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All valid accepted, all invalid rejected, 6 roles verified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Concurrency stress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4 multi-threaded tests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100-thread contention: exactly 1 wins. 200 distinct: 0 false rejects. 10K churn: clean. Mixed traffic: 50/50 correct.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NIST ACVP vectors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50 vectors (25 keygen, 25 encaps)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50/50 passed, byte-identical to NIST reference</w:t>
            </w:r>
          </w:p>
        </w:tc>
      </w:tr>
    </w:tbl>
    <w:p>
      <w:pPr>
        <w:spacing w:after="80" w:before="0" w:line="360" w:lineRule="auto"/>
      </w:pPr>
    </w:p>
    <w:p>
      <w:pPr>
        <w:spacing w:after="240" w:before="0" w:line="360" w:lineRule="auto"/>
        <w:jc w:val="both"/>
      </w:pPr>
      <w:r>
        <w:rPr>
          <w:rFonts w:ascii="Times New Roman" w:cs="Times New Roman" w:eastAsia="Times New Roman" w:hAnsi="Times New Roman"/>
          <w:i/>
          <w:iCs/>
          <w:sz w:val="24"/>
          <w:szCs w:val="24"/>
        </w:rPr>
        <w:t xml:space="preserve">Table 3. Validation summary.</w:t>
      </w:r>
    </w:p>
    <w:p>
      <w:pPr>
        <w:pStyle w:val="Heading2"/>
        <w:spacing w:after="100" w:before="300" w:line="360" w:lineRule="auto"/>
      </w:pPr>
      <w:r>
        <w:rPr>
          <w:rFonts w:ascii="Times New Roman" w:cs="Times New Roman" w:eastAsia="Times New Roman" w:hAnsi="Times New Roman"/>
          <w:b/>
          <w:bCs/>
          <w:i/>
          <w:iCs/>
          <w:sz w:val="24"/>
          <w:szCs w:val="24"/>
        </w:rPr>
        <w:t xml:space="preserve">6.2 Benchmarks</w:t>
      </w:r>
    </w:p>
    <w:p>
      <w:pPr>
        <w:spacing w:after="240" w:before="0" w:line="360" w:lineRule="auto"/>
        <w:jc w:val="both"/>
      </w:pPr>
      <w:r>
        <w:rPr>
          <w:rFonts w:ascii="Times New Roman" w:cs="Times New Roman" w:eastAsia="Times New Roman" w:hAnsi="Times New Roman"/>
          <w:sz w:val="24"/>
          <w:szCs w:val="24"/>
        </w:rPr>
        <w:t xml:space="preserve">Latency was measured on a dedicated AMD Ryzen 9700X workstation (8 cores, Windows 11, High Performance power plan, background load minimized) running rustc 1.95.0 MSVC with the citadel-envelope crate and ml-kem v0.2.2 for compatibility testing; the production implementation targets v0.2.3 with identical algorithm behavior. Each operation ran 100,000 times after a 10,000-iteration warmup, with black-box barriers to prevent dead-code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Operation</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Mean (µs)</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Std (µs)</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p50 (µs)</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p95 (µs)</w:t>
            </w:r>
          </w:p>
        </w:tc>
        <w:tc>
          <w:tcPr>
            <w:tcW w:type="dxa" w:w="13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X25519 keygen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9.38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4.06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9.30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X25519 DH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28.33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2.04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28.20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28.40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ML-KEM-768 keygen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27.08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0.67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27.00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27.80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ML-KEM-768 encaps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24.93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24.70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26.10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keygen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36.50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36.20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38.60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encrypt, 64 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64.54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64.10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66.80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encrypt, 1 KB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65.33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7.71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64.70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67.80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encrypt, 64 KB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102.18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6.36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101.50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104.30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decrypt, 1 KB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62.98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62.50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65.40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decrypt, 64 KB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99.21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4.83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98.80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101.20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100,000</w:t>
            </w:r>
          </w:p>
        </w:tc>
      </w:tr>
    </w:tbl>
    <w:p>
      <w:pPr>
        <w:spacing w:after="80" w:before="0" w:line="360" w:lineRule="auto"/>
      </w:pPr>
    </w:p>
    <w:p>
      <w:pPr>
        <w:spacing w:after="240" w:before="0" w:line="360" w:lineRule="auto"/>
        <w:jc w:val="both"/>
      </w:pPr>
      <w:r>
        <w:rPr>
          <w:rFonts w:ascii="Times New Roman" w:cs="Times New Roman" w:eastAsia="Times New Roman" w:hAnsi="Times New Roman"/>
          <w:i/>
          <w:iCs/>
          <w:sz w:val="24"/>
          <w:szCs w:val="24"/>
        </w:rPr>
        <w:t xml:space="preserve">Table 4. Bare-metal hybrid envelope latency. AMD Ryzen 9700X, Windows 11, rustc 1.95.0, N=100,000, warmup=10,000. Fixed overhead confirmed at 1,154 bytes across all payload sizes.</w:t>
      </w:r>
    </w:p>
    <w:p>
      <w:pPr>
        <w:spacing w:after="240" w:before="0" w:line="360" w:lineRule="auto"/>
        <w:jc w:val="both"/>
      </w:pPr>
      <w:r>
        <w:rPr>
          <w:rFonts w:ascii="Times New Roman" w:cs="Times New Roman" w:eastAsia="Times New Roman" w:hAnsi="Times New Roman"/>
          <w:sz w:val="24"/>
          <w:szCs w:val="24"/>
        </w:rPr>
        <w:t xml:space="preserve">The full hybrid encrypt completes in 65 µs for payloads up to 1 KB, with p95 under 68 µs. At 64 KB the AES-256-GCM scaling adds about 37 µs. Encrypt and decrypt are symmetric within noise. Internal consistency checks out: hybrid keygen (36.5 µs) equals X25519 keygen (9.4 µs) plus ML-KEM-768 keygen (27.1 µs) to within measurement precision. Standard deviations are tight (0.67 µs for isolated ML-KEM keygen), reflecting the stable bare-metal environment.</w:t>
      </w:r>
    </w:p>
    <w:p>
      <w:pPr>
        <w:pStyle w:val="Heading2"/>
        <w:spacing w:after="100" w:before="300" w:line="360" w:lineRule="auto"/>
      </w:pPr>
      <w:r>
        <w:rPr>
          <w:rFonts w:ascii="Times New Roman" w:cs="Times New Roman" w:eastAsia="Times New Roman" w:hAnsi="Times New Roman"/>
          <w:b/>
          <w:bCs/>
          <w:i/>
          <w:iCs/>
          <w:sz w:val="24"/>
          <w:szCs w:val="24"/>
        </w:rPr>
        <w:t xml:space="preserve">6.3 Comparative Analysis</w:t>
      </w:r>
    </w:p>
    <w:p>
      <w:pPr>
        <w:spacing w:after="240" w:before="0" w:line="360" w:lineRule="auto"/>
        <w:jc w:val="both"/>
      </w:pPr>
      <w:r>
        <w:rPr>
          <w:rFonts w:ascii="Times New Roman" w:cs="Times New Roman" w:eastAsia="Times New Roman" w:hAnsi="Times New Roman"/>
          <w:sz w:val="24"/>
          <w:szCs w:val="24"/>
        </w:rPr>
        <w:t xml:space="preserve">Table 5 compares three configurations on the same hardware (AMD Ryzen 9700X, N=50,000, 1 KB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3460"/>
      </w:tblGrid>
      <w:tr>
        <w:tc>
          <w:tcPr>
            <w:tcW w:type="dxa" w:w="2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Configuration</w:t>
            </w:r>
          </w:p>
        </w:tc>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Encrypt (µs)</w:t>
            </w:r>
          </w:p>
        </w:tc>
        <w:tc>
          <w:tcPr>
            <w:tcW w:type="dxa" w:w="1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Overhead (B)</w:t>
            </w:r>
          </w:p>
        </w:tc>
        <w:tc>
          <w:tcPr>
            <w:tcW w:type="dxa" w:w="3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pPr>
              <w:spacing w:line="300" w:lineRule="auto"/>
            </w:pPr>
            <w:r>
              <w:rPr>
                <w:rFonts w:ascii="Times New Roman" w:cs="Times New Roman" w:eastAsia="Times New Roman" w:hAnsi="Times New Roman"/>
                <w:b/>
                <w:bCs/>
                <w:sz w:val="20"/>
                <w:szCs w:val="20"/>
              </w:rPr>
              <w:t xml:space="preserve">Security posture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A: X25519 + AES-256-GCM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38.6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60</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Classical (128-bit)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B: ML-KEM-768 + AES-256-GCM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25.6</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1,116</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Post-quantum (~192-bit)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C: Citadel hybrid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65.2</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1,154</w:t>
            </w:r>
          </w:p>
        </w:tc>
        <w:tc>
          <w:tcPr>
            <w:tcW w:type="dxa" w:w="34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line="300" w:lineRule="auto"/>
            </w:pPr>
            <w:r>
              <w:rPr>
                <w:rFonts w:ascii="Times New Roman" w:cs="Times New Roman" w:eastAsia="Times New Roman" w:hAnsi="Times New Roman"/>
                <w:b w:val="false"/>
                <w:bCs w:val="false"/>
                <w:sz w:val="20"/>
                <w:szCs w:val="20"/>
              </w:rPr>
              <w:t xml:space="preserve">Hybrid (either-or)</w:t>
            </w:r>
          </w:p>
        </w:tc>
      </w:tr>
    </w:tbl>
    <w:p>
      <w:pPr>
        <w:spacing w:after="80" w:before="0" w:line="360" w:lineRule="auto"/>
      </w:pPr>
    </w:p>
    <w:p>
      <w:pPr>
        <w:spacing w:after="240" w:before="0" w:line="360" w:lineRule="auto"/>
        <w:jc w:val="both"/>
      </w:pPr>
      <w:r>
        <w:rPr>
          <w:rFonts w:ascii="Times New Roman" w:cs="Times New Roman" w:eastAsia="Times New Roman" w:hAnsi="Times New Roman"/>
          <w:i/>
          <w:iCs/>
          <w:sz w:val="24"/>
          <w:szCs w:val="24"/>
        </w:rPr>
        <w:t xml:space="preserve">Table 5. Comparative encrypt latency and ciphertext overhead for 1 KB payload. Same hardware, same methodology.</w:t>
      </w:r>
    </w:p>
    <w:p>
      <w:pPr>
        <w:spacing w:after="240" w:before="0" w:line="360" w:lineRule="auto"/>
        <w:jc w:val="both"/>
      </w:pPr>
      <w:r>
        <w:rPr>
          <w:rFonts w:ascii="Times New Roman" w:cs="Times New Roman" w:eastAsia="Times New Roman" w:hAnsi="Times New Roman"/>
          <w:sz w:val="24"/>
          <w:szCs w:val="24"/>
        </w:rPr>
        <w:t xml:space="preserve">The hybrid adds 27 µs of latency and 1,094 bytes of ciphertext overhead relative to X25519-only encryption. The latency cost is additive as expected: Config C (65 µs) closely approximates Config A (39 µs) plus Config B (26 µs). The overhead delta between ML-KEM-only and hybrid is just 38 bytes (the header and X25519 ephemeral public key contribution), confirming that the ML-KEM ciphertext dominates the envelope size.</w:t>
      </w:r>
    </w:p>
    <w:p>
      <w:pPr>
        <w:pStyle w:val="Heading2"/>
        <w:spacing w:after="100" w:before="300" w:line="360" w:lineRule="auto"/>
      </w:pPr>
      <w:r>
        <w:rPr>
          <w:rFonts w:ascii="Times New Roman" w:cs="Times New Roman" w:eastAsia="Times New Roman" w:hAnsi="Times New Roman"/>
          <w:b/>
          <w:bCs/>
          <w:i/>
          <w:iCs/>
          <w:sz w:val="24"/>
          <w:szCs w:val="24"/>
        </w:rPr>
        <w:t xml:space="preserve">6.4 Reproducibility</w:t>
      </w:r>
    </w:p>
    <w:p>
      <w:pPr>
        <w:spacing w:after="240" w:before="0" w:line="360" w:lineRule="auto"/>
        <w:jc w:val="both"/>
      </w:pPr>
      <w:r>
        <w:rPr>
          <w:rFonts w:ascii="Times New Roman" w:cs="Times New Roman" w:eastAsia="Times New Roman" w:hAnsi="Times New Roman"/>
          <w:sz w:val="24"/>
          <w:szCs w:val="24"/>
        </w:rPr>
        <w:t xml:space="preserve">The citadel-envelope crate is at https://github.com/mrcord77/rust_citadel (Cordero, 2026; v0.1.0). The proprietary validation artifact is tagged citadel-v3-P427. Tests run with cargo test --workspace. Bare-metal benchmarks executed on AMD Ryzen 9700X, Windows 11, rustc 1.95.0 MSVC, High Performance power plan.</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7. Discussion</w:t>
      </w:r>
    </w:p>
    <w:p>
      <w:pPr>
        <w:pStyle w:val="Heading2"/>
        <w:spacing w:after="100" w:before="300" w:line="360" w:lineRule="auto"/>
      </w:pPr>
      <w:r>
        <w:rPr>
          <w:rFonts w:ascii="Times New Roman" w:cs="Times New Roman" w:eastAsia="Times New Roman" w:hAnsi="Times New Roman"/>
          <w:b/>
          <w:bCs/>
          <w:i/>
          <w:iCs/>
          <w:sz w:val="24"/>
          <w:szCs w:val="24"/>
        </w:rPr>
        <w:t xml:space="preserve">7.1 Migration Benefits</w:t>
      </w:r>
    </w:p>
    <w:p>
      <w:pPr>
        <w:spacing w:after="240" w:before="0" w:line="360" w:lineRule="auto"/>
        <w:jc w:val="both"/>
      </w:pPr>
      <w:r>
        <w:rPr>
          <w:rFonts w:ascii="Times New Roman" w:cs="Times New Roman" w:eastAsia="Times New Roman" w:hAnsi="Times New Roman"/>
          <w:sz w:val="24"/>
          <w:szCs w:val="24"/>
        </w:rPr>
        <w:t xml:space="preserve">Because the envelope is hybrid, forward-encrypted data gets post-quantum protection immediately while classical confidence remains intact, closing the HNDL window Mosca (2021) describes. The hierarchy design means that when algorithms eventually need replacing, only key wrapping material changes; application data stays untouched. Alignment with CNSA 2.0 (NSA, 2022) also provides a regulatory pathway for organizations subject to federal security requirements.</w:t>
      </w:r>
    </w:p>
    <w:p>
      <w:pPr>
        <w:pStyle w:val="Heading2"/>
        <w:spacing w:after="100" w:before="300" w:line="360" w:lineRule="auto"/>
      </w:pPr>
      <w:r>
        <w:rPr>
          <w:rFonts w:ascii="Times New Roman" w:cs="Times New Roman" w:eastAsia="Times New Roman" w:hAnsi="Times New Roman"/>
          <w:b/>
          <w:bCs/>
          <w:i/>
          <w:iCs/>
          <w:sz w:val="24"/>
          <w:szCs w:val="24"/>
        </w:rPr>
        <w:t xml:space="preserve">7.2 Engineering Tradeoffs</w:t>
      </w:r>
    </w:p>
    <w:p>
      <w:pPr>
        <w:spacing w:after="240" w:before="0" w:line="360" w:lineRule="auto"/>
        <w:jc w:val="both"/>
      </w:pPr>
      <w:r>
        <w:rPr>
          <w:rFonts w:ascii="Times New Roman" w:cs="Times New Roman" w:eastAsia="Times New Roman" w:hAnsi="Times New Roman"/>
          <w:sz w:val="24"/>
          <w:szCs w:val="24"/>
        </w:rPr>
        <w:t xml:space="preserve">The 1,154-byte fixed overhead is a real cost. For 1 KB records it amounts to roughly 113% overhead, which is manageable. For 32-byte field values the ratio climbs to about 3,700%, making batching or field-grouping strategies necessary. Hierarchy depth brings its own complexity: revoking a KEK cascades suspension to every DEK beneath it, and operators need to understand the re-wrapping recovery path. The adaptive threat engine also requires operator familiarity, since policy tightening happens automatically when the threat score rises.</w:t>
      </w:r>
    </w:p>
    <w:p>
      <w:pPr>
        <w:pStyle w:val="Heading2"/>
        <w:spacing w:after="100" w:before="300" w:line="360" w:lineRule="auto"/>
      </w:pPr>
      <w:r>
        <w:rPr>
          <w:rFonts w:ascii="Times New Roman" w:cs="Times New Roman" w:eastAsia="Times New Roman" w:hAnsi="Times New Roman"/>
          <w:b/>
          <w:bCs/>
          <w:i/>
          <w:iCs/>
          <w:sz w:val="24"/>
          <w:szCs w:val="24"/>
        </w:rPr>
        <w:t xml:space="preserve">7.3 Threats to Validity</w:t>
      </w:r>
    </w:p>
    <w:p>
      <w:pPr>
        <w:spacing w:after="240" w:before="0" w:line="360" w:lineRule="auto"/>
        <w:jc w:val="both"/>
      </w:pPr>
      <w:r>
        <w:rPr>
          <w:rFonts w:ascii="Times New Roman" w:cs="Times New Roman" w:eastAsia="Times New Roman" w:hAnsi="Times New Roman"/>
          <w:sz w:val="24"/>
          <w:szCs w:val="24"/>
        </w:rPr>
        <w:t xml:space="preserve">Internal validity: no independent audit has been conducted, and the adversarial tests, while thorough, do not amount to a formal proof of security. The ml-kem and ml-dsa crates are pre-stable releases.</w:t>
      </w:r>
    </w:p>
    <w:p>
      <w:pPr>
        <w:spacing w:after="240" w:before="0" w:line="360" w:lineRule="auto"/>
        <w:jc w:val="both"/>
      </w:pPr>
      <w:r>
        <w:rPr>
          <w:rFonts w:ascii="Times New Roman" w:cs="Times New Roman" w:eastAsia="Times New Roman" w:hAnsi="Times New Roman"/>
          <w:sz w:val="24"/>
          <w:szCs w:val="24"/>
        </w:rPr>
        <w:t xml:space="preserve">External validity: the Rust-specific type safety properties do not carry over to other languages. Benchmarks were obtained on a single AMD Ryzen 9700X workstation under Windows 11; performance on other architectures (ARM, older x86) may differ. Only single-node deployment has been validated, and the hybrid envelope sits at the application layer with no transport-layer PQ protection.</w:t>
      </w:r>
    </w:p>
    <w:p>
      <w:pPr>
        <w:spacing w:after="240" w:before="0" w:line="360" w:lineRule="auto"/>
        <w:jc w:val="both"/>
      </w:pPr>
      <w:r>
        <w:rPr>
          <w:rFonts w:ascii="Times New Roman" w:cs="Times New Roman" w:eastAsia="Times New Roman" w:hAnsi="Times New Roman"/>
          <w:sz w:val="24"/>
          <w:szCs w:val="24"/>
        </w:rPr>
        <w:t xml:space="preserve">Construct validity: 10,000 collision-free nonces are consistent with a correct CSPRNG but do not constitute a proof. Timing-path testing lacked formal statistical methodology and hardware isolation. ML-KEM-768 was validated against 50 NIST ACVP test vectors with zero failures; official ACVP submission remains a separate process. Benchmarks were obtained on a single hardware platform; cross-platform measurements remain future work.</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8. Future Work</w:t>
      </w:r>
    </w:p>
    <w:p>
      <w:pPr>
        <w:spacing w:after="240" w:before="0" w:line="360" w:lineRule="auto"/>
        <w:jc w:val="both"/>
      </w:pPr>
      <w:r>
        <w:rPr>
          <w:rFonts w:ascii="Times New Roman" w:cs="Times New Roman" w:eastAsia="Times New Roman" w:hAnsi="Times New Roman"/>
          <w:sz w:val="24"/>
          <w:szCs w:val="24"/>
        </w:rPr>
        <w:t xml:space="preserve">Independent security audit by a professional cryptographic firm is the most important next step and the last gate before production deployment. Cross-platform benchmark validation on Linux and ARM architectures would complement the Windows x86-64 measurements presented here.</w:t>
      </w:r>
    </w:p>
    <w:p>
      <w:pPr>
        <w:spacing w:after="240" w:before="0" w:line="360" w:lineRule="auto"/>
        <w:jc w:val="both"/>
      </w:pPr>
      <w:r>
        <w:rPr>
          <w:rFonts w:ascii="Times New Roman" w:cs="Times New Roman" w:eastAsia="Times New Roman" w:hAnsi="Times New Roman"/>
          <w:sz w:val="24"/>
          <w:szCs w:val="24"/>
        </w:rPr>
        <w:t xml:space="preserve">On the engineering side, network-partition testing of the Redis replay backend under split-brain conditions and multi-node cluster validation remain open. Longer-term goals include supply chain hardening beyond dependency auditing (reproducible builds, build attestation), ML-DSA integration with hybrid X.509 certificates, post-quantum TLS transport support, formal verification of the state machine and replay invariants, FIPS 140-3 evaluation, and an external audit witness for high-assurance logging.</w:t>
      </w:r>
    </w:p>
    <w:p>
      <w:pPr>
        <w:pStyle w:val="Heading1"/>
        <w:spacing w:after="200" w:before="360" w:line="360" w:lineRule="auto"/>
      </w:pPr>
      <w:r>
        <w:rPr>
          <w:rFonts w:ascii="Times New Roman" w:cs="Times New Roman" w:eastAsia="Times New Roman" w:hAnsi="Times New Roman"/>
          <w:b/>
          <w:bCs/>
          <w:sz w:val="28"/>
          <w:szCs w:val="28"/>
        </w:rPr>
        <w:t xml:space="preserve">9. Conclusion</w:t>
      </w:r>
    </w:p>
    <w:p>
      <w:pPr>
        <w:spacing w:after="240" w:before="0" w:line="360" w:lineRule="auto"/>
        <w:jc w:val="both"/>
      </w:pPr>
      <w:r>
        <w:rPr>
          <w:rFonts w:ascii="Times New Roman" w:cs="Times New Roman" w:eastAsia="Times New Roman" w:hAnsi="Times New Roman"/>
          <w:sz w:val="24"/>
          <w:szCs w:val="24"/>
        </w:rPr>
        <w:t xml:space="preserve">This paper described Citadel, a hybrid post-quantum key management system in Rust that combines X25519 with ML-KEM-768 inside an operational governance framework. The framework is the main contribution: a four-level hierarchy whose wrapping chain is post-quantum protected (NIST SP 800-57; NIST, 2020), fail-closed replay governance scoped by domain, two-layer capability authorization, and adaptive threat-driven policy.</w:t>
      </w:r>
    </w:p>
    <w:p>
      <w:pPr>
        <w:spacing w:after="240" w:before="0" w:line="360" w:lineRule="auto"/>
        <w:jc w:val="both"/>
      </w:pPr>
      <w:r>
        <w:rPr>
          <w:rFonts w:ascii="Times New Roman" w:cs="Times New Roman" w:eastAsia="Times New Roman" w:hAnsi="Times New Roman"/>
          <w:sz w:val="24"/>
          <w:szCs w:val="24"/>
        </w:rPr>
        <w:t xml:space="preserve">A 190-test suite passed on two build environments. Adversarial testing exhaustively flipped 9,264 bit positions with no undetected change and generated 10,000 nonces with no collision. Property-based testing confirmed replay governance invariants, concurrency stress testing verified exactly-one-wins atomicity under 100-thread contention, and 50 NIST ACVP vectors for ML-KEM-768 keygen and encapsulation passed byte-identical. Bare-metal benchmarks on an AMD Ryzen 9700X measured hybrid encrypt at 65 µs for a 1 KB payload (p95 = 68 µs), adding 27 µs over classical X25519-only encryption. The cryptographic core is public (Cordero, 2026), and the system aligns with FIPS 203, FIPS 204, and CNSA 2.0 (NSA, 2022). Independent audit remains the last prerequisite for production deployment.</w:t>
      </w:r>
    </w:p>
    <w:p>
      <w:r>
        <w:br w:type="page"/>
      </w:r>
    </w:p>
    <w:p>
      <w:pPr>
        <w:pStyle w:val="Heading1"/>
        <w:spacing w:after="200" w:before="360" w:line="360" w:lineRule="auto"/>
      </w:pPr>
      <w:r>
        <w:rPr>
          <w:rFonts w:ascii="Times New Roman" w:cs="Times New Roman" w:eastAsia="Times New Roman" w:hAnsi="Times New Roman"/>
          <w:b/>
          <w:bCs/>
          <w:sz w:val="28"/>
          <w:szCs w:val="28"/>
        </w:rPr>
        <w:t xml:space="preserve">Disclosure</w:t>
      </w:r>
    </w:p>
    <w:p>
      <w:pPr>
        <w:spacing w:after="240" w:before="0" w:line="360" w:lineRule="auto"/>
        <w:jc w:val="both"/>
      </w:pPr>
      <w:r>
        <w:rPr>
          <w:rFonts w:ascii="Times New Roman" w:cs="Times New Roman" w:eastAsia="Times New Roman" w:hAnsi="Times New Roman"/>
          <w:sz w:val="24"/>
          <w:szCs w:val="24"/>
        </w:rPr>
        <w:t xml:space="preserve">The citadel-envelope crate (hybrid KEM, HKDF derivation, AES-256-GCM, wire format) is publicly available at https://github.com/mrcord77/rust_citadel (Cordero, 2026; v0.1.0). The remaining crates, covering key lifecycle, replay governance, capability enforcement, adaptive threat response, and the API layer, are not publicly released. This paper describes the architectural design, security argument, and validation evidence for the full system. Implementation constants, operational parameters, and internal governance logic remain proprietary.</w:t>
      </w:r>
    </w:p>
    <w:p>
      <w:r>
        <w:br w:type="page"/>
      </w:r>
    </w:p>
    <w:p>
      <w:pPr>
        <w:spacing w:after="200" w:before="0" w:line="360" w:lineRule="auto"/>
        <w:jc w:val="center"/>
      </w:pPr>
      <w:r>
        <w:rPr>
          <w:rFonts w:ascii="Times New Roman" w:cs="Times New Roman" w:eastAsia="Times New Roman" w:hAnsi="Times New Roman"/>
          <w:b/>
          <w:bCs/>
          <w:sz w:val="24"/>
          <w:szCs w:val="24"/>
        </w:rPr>
        <w:t xml:space="preserve">References</w:t>
      </w:r>
    </w:p>
    <w:p>
      <w:pPr>
        <w:spacing w:after="200" w:before="0" w:line="360" w:lineRule="auto"/>
        <w:ind w:left="720" w:hanging="720"/>
        <w:jc w:val="both"/>
      </w:pPr>
      <w:r>
        <w:rPr>
          <w:rFonts w:ascii="Times New Roman" w:cs="Times New Roman" w:eastAsia="Times New Roman" w:hAnsi="Times New Roman"/>
          <w:sz w:val="24"/>
          <w:szCs w:val="24"/>
        </w:rPr>
        <w:t xml:space="preserve">BSI — Federal Office for Information Security. (2023). Migration to post-quantum cryptography: Recommendations for action for administrators and decision makers. https://www.bsi.bund.de</w:t>
      </w:r>
    </w:p>
    <w:p>
      <w:pPr>
        <w:spacing w:after="200" w:before="0" w:line="360" w:lineRule="auto"/>
        <w:ind w:left="720" w:hanging="720"/>
        <w:jc w:val="both"/>
      </w:pPr>
      <w:r>
        <w:rPr>
          <w:rFonts w:ascii="Times New Roman" w:cs="Times New Roman" w:eastAsia="Times New Roman" w:hAnsi="Times New Roman"/>
          <w:sz w:val="24"/>
          <w:szCs w:val="24"/>
        </w:rPr>
        <w:t xml:space="preserve">Chen, A. C. H. (2025). Hybrid schemes of NIST post-quantum cryptography standard algorithms and quantum key distribution for key exchange and digital signature. arXiv. https://arxiv.org/abs/2510.02379</w:t>
      </w:r>
    </w:p>
    <w:p>
      <w:pPr>
        <w:spacing w:after="200" w:before="0" w:line="360" w:lineRule="auto"/>
        <w:ind w:left="720" w:hanging="720"/>
        <w:jc w:val="both"/>
      </w:pPr>
      <w:r>
        <w:rPr>
          <w:rFonts w:ascii="Times New Roman" w:cs="Times New Roman" w:eastAsia="Times New Roman" w:hAnsi="Times New Roman"/>
          <w:sz w:val="24"/>
          <w:szCs w:val="24"/>
        </w:rPr>
        <w:t xml:space="preserve">Cordero, A. (2026). rust_citadel (Version 0.1.0) [Computer software]. GitHub. https://github.com/mrcord77/rust_citadel</w:t>
      </w:r>
    </w:p>
    <w:p>
      <w:pPr>
        <w:spacing w:after="200" w:before="0" w:line="360" w:lineRule="auto"/>
        <w:ind w:left="720" w:hanging="720"/>
        <w:jc w:val="both"/>
      </w:pPr>
      <w:r>
        <w:rPr>
          <w:rFonts w:ascii="Times New Roman" w:cs="Times New Roman" w:eastAsia="Times New Roman" w:hAnsi="Times New Roman"/>
          <w:sz w:val="24"/>
          <w:szCs w:val="24"/>
        </w:rPr>
        <w:t xml:space="preserve">Langley, A., Hamburg, M., &amp; Turner, S. (2016). Elliptic curves for security (RFC 7748). Internet Engineering Task Force. https://doi.org/10.17487/RFC7748</w:t>
      </w:r>
    </w:p>
    <w:p>
      <w:pPr>
        <w:spacing w:after="200" w:before="0" w:line="360" w:lineRule="auto"/>
        <w:ind w:left="720" w:hanging="720"/>
        <w:jc w:val="both"/>
      </w:pPr>
      <w:r>
        <w:rPr>
          <w:rFonts w:ascii="Times New Roman" w:cs="Times New Roman" w:eastAsia="Times New Roman" w:hAnsi="Times New Roman"/>
          <w:sz w:val="24"/>
          <w:szCs w:val="24"/>
        </w:rPr>
        <w:t xml:space="preserve">Mosca, M. (2021). Cybersecurity in an era with quantum computers: Will we be ready? IEEE Security &amp; Privacy, 19(5), 28–35. https://doi.org/10.1109/MSEC.2021.3094698</w:t>
      </w:r>
    </w:p>
    <w:p>
      <w:pPr>
        <w:spacing w:after="200" w:before="0" w:line="360" w:lineRule="auto"/>
        <w:ind w:left="720" w:hanging="720"/>
        <w:jc w:val="both"/>
      </w:pPr>
      <w:r>
        <w:rPr>
          <w:rFonts w:ascii="Times New Roman" w:cs="Times New Roman" w:eastAsia="Times New Roman" w:hAnsi="Times New Roman"/>
          <w:sz w:val="24"/>
          <w:szCs w:val="24"/>
        </w:rPr>
        <w:t xml:space="preserve">Nagy, N., Alnemer, S., Alshuhail, L. M., Alobiad, H., Almulla, T., Alrumaihi, F. A., Ghadra, N., &amp; Nagy, M. (2025). Module-lattice-based key-encapsulation mechanism performance measurements. Sci, 7(3), 91. https://doi.org/10.3390/sci7030091</w:t>
      </w:r>
    </w:p>
    <w:p>
      <w:pPr>
        <w:spacing w:after="200" w:before="0" w:line="360" w:lineRule="auto"/>
        <w:ind w:left="720" w:hanging="720"/>
        <w:jc w:val="both"/>
      </w:pPr>
      <w:r>
        <w:rPr>
          <w:rFonts w:ascii="Times New Roman" w:cs="Times New Roman" w:eastAsia="Times New Roman" w:hAnsi="Times New Roman"/>
          <w:sz w:val="24"/>
          <w:szCs w:val="24"/>
        </w:rPr>
        <w:t xml:space="preserve">National Institute of Standards and Technology. (2020). Recommendation for key management: Part 1 — General (NIST SP 800-57 Part 1, Revision 5). U.S. Department of Commerce. https://doi.org/10.6028/NIST.SP.800-57pt1r5</w:t>
      </w:r>
    </w:p>
    <w:p>
      <w:pPr>
        <w:spacing w:after="200" w:before="0" w:line="360" w:lineRule="auto"/>
        <w:ind w:left="720" w:hanging="720"/>
        <w:jc w:val="both"/>
      </w:pPr>
      <w:r>
        <w:rPr>
          <w:rFonts w:ascii="Times New Roman" w:cs="Times New Roman" w:eastAsia="Times New Roman" w:hAnsi="Times New Roman"/>
          <w:sz w:val="24"/>
          <w:szCs w:val="24"/>
        </w:rPr>
        <w:t xml:space="preserve">National Institute of Standards and Technology. (2024). Module-lattice-based key-encapsulation mechanism standard (FIPS 203). U.S. Department of Commerce. https://doi.org/10.6028/NIST.FIPS.203</w:t>
      </w:r>
    </w:p>
    <w:p>
      <w:pPr>
        <w:spacing w:after="200" w:before="0" w:line="360" w:lineRule="auto"/>
        <w:ind w:left="720" w:hanging="720"/>
        <w:jc w:val="both"/>
      </w:pPr>
      <w:r>
        <w:rPr>
          <w:rFonts w:ascii="Times New Roman" w:cs="Times New Roman" w:eastAsia="Times New Roman" w:hAnsi="Times New Roman"/>
          <w:sz w:val="24"/>
          <w:szCs w:val="24"/>
        </w:rPr>
        <w:t xml:space="preserve">National Institute of Standards and Technology. (2024). Module-lattice-based digital signature standard (FIPS 204). U.S. Department of Commerce. https://doi.org/10.6028/NIST.FIPS.204</w:t>
      </w:r>
    </w:p>
    <w:p>
      <w:pPr>
        <w:spacing w:after="200" w:before="0" w:line="360" w:lineRule="auto"/>
        <w:ind w:left="720" w:hanging="720"/>
        <w:jc w:val="both"/>
      </w:pPr>
      <w:r>
        <w:rPr>
          <w:rFonts w:ascii="Times New Roman" w:cs="Times New Roman" w:eastAsia="Times New Roman" w:hAnsi="Times New Roman"/>
          <w:sz w:val="24"/>
          <w:szCs w:val="24"/>
        </w:rPr>
        <w:t xml:space="preserve">National Institute of Standards and Technology. (2024). NIST releases first finalized post-quantum encryption standards. https://www.nist.gov/news-events/news/2024/08/nist-releases-first-3-finalized-post-quantum-encryption-standards</w:t>
      </w:r>
    </w:p>
    <w:p>
      <w:pPr>
        <w:spacing w:after="200" w:before="0" w:line="360" w:lineRule="auto"/>
        <w:ind w:left="720" w:hanging="720"/>
        <w:jc w:val="both"/>
      </w:pPr>
      <w:r>
        <w:rPr>
          <w:rFonts w:ascii="Times New Roman" w:cs="Times New Roman" w:eastAsia="Times New Roman" w:hAnsi="Times New Roman"/>
          <w:sz w:val="24"/>
          <w:szCs w:val="24"/>
        </w:rPr>
        <w:t xml:space="preserve">National Security Agency. (2022). Commercial National Security Algorithm Suite 2.0 and quantum resistant cryptography (CNSA 2.0). https://media.defense.gov/2022/Sep/07/2003071834/-1/-1/0/CSI_CNSA_2.0_FAQ_.PDF</w:t>
      </w:r>
    </w:p>
    <w:p>
      <w:pPr>
        <w:spacing w:after="200" w:before="0" w:line="360" w:lineRule="auto"/>
        <w:ind w:left="720" w:hanging="720"/>
        <w:jc w:val="both"/>
      </w:pPr>
      <w:r>
        <w:rPr>
          <w:rFonts w:ascii="Times New Roman" w:cs="Times New Roman" w:eastAsia="Times New Roman" w:hAnsi="Times New Roman"/>
          <w:sz w:val="24"/>
          <w:szCs w:val="24"/>
        </w:rPr>
        <w:t xml:space="preserve">Shor, P. W. (1994). Algorithms for quantum computation: Discrete logarithms and factoring. Proceedings of the 35th Annual Symposium on Foundations of Computer Science, 124–134. https://doi.org/10.1109/SFCS.1994.365700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sz w:val="20"/>
        <w:szCs w:val="20"/>
      </w:rPr>
      <w:t xml:space="preserve">POST-QUANTUM OPERATIONAL GOVERNANCE        </w:t>
    </w:r>
    <w:fldSimple w:instr="PAGE">
      <w:r>
        <w:rPr>
          <w:rFonts w:ascii="Times New Roman" w:cs="Times New Roman" w:eastAsia="Times New Roman" w:hAnsi="Times New Roman"/>
          <w:sz w:val="20"/>
          <w:szCs w:val="20"/>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3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2026-05-19T17:17:58.880Z</dcterms:created>
  <dcterms:modified xsi:type="dcterms:W3CDTF">2026-05-19T17:17:58.895Z</dcterms:modified>
</cp:coreProperties>
</file>

<file path=docProps/custom.xml><?xml version="1.0" encoding="utf-8"?>
<Properties xmlns="http://schemas.openxmlformats.org/officeDocument/2006/custom-properties" xmlns:vt="http://schemas.openxmlformats.org/officeDocument/2006/docPropsVTypes"/>
</file>