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64CB" w:rsidP="000164CB" w:rsidRDefault="000164CB" w14:paraId="4E8E013A" w14:textId="5E1A7C19">
      <w:pPr>
        <w:spacing w:after="0" w:line="360" w:lineRule="auto"/>
        <w:jc w:val="center"/>
        <w:rPr>
          <w:rFonts w:ascii="Arial" w:hAnsi="Arial" w:cs="Arial"/>
          <w:b/>
          <w:bCs/>
          <w:sz w:val="24"/>
          <w:szCs w:val="24"/>
        </w:rPr>
      </w:pPr>
      <w:r w:rsidRPr="000164CB">
        <w:rPr>
          <w:rFonts w:ascii="Arial" w:hAnsi="Arial" w:cs="Arial"/>
          <w:b/>
          <w:bCs/>
          <w:sz w:val="24"/>
          <w:szCs w:val="24"/>
        </w:rPr>
        <w:t>ATIVIDADE</w:t>
      </w:r>
      <w:r>
        <w:rPr>
          <w:rFonts w:ascii="Arial" w:hAnsi="Arial" w:cs="Arial"/>
          <w:b/>
          <w:bCs/>
          <w:sz w:val="24"/>
          <w:szCs w:val="24"/>
        </w:rPr>
        <w:t xml:space="preserve"> </w:t>
      </w:r>
      <w:r w:rsidR="007507CC">
        <w:rPr>
          <w:rFonts w:ascii="Arial" w:hAnsi="Arial" w:cs="Arial"/>
          <w:b/>
          <w:bCs/>
          <w:sz w:val="24"/>
          <w:szCs w:val="24"/>
        </w:rPr>
        <w:t>3</w:t>
      </w:r>
      <w:r>
        <w:rPr>
          <w:rFonts w:ascii="Arial" w:hAnsi="Arial" w:cs="Arial"/>
          <w:b/>
          <w:bCs/>
          <w:sz w:val="24"/>
          <w:szCs w:val="24"/>
        </w:rPr>
        <w:t xml:space="preserve"> </w:t>
      </w:r>
      <w:r w:rsidR="00041F9C">
        <w:rPr>
          <w:rFonts w:ascii="Arial" w:hAnsi="Arial" w:cs="Arial"/>
          <w:b/>
          <w:bCs/>
          <w:sz w:val="24"/>
          <w:szCs w:val="24"/>
        </w:rPr>
        <w:t>–</w:t>
      </w:r>
      <w:r w:rsidR="006D49F1">
        <w:rPr>
          <w:rFonts w:ascii="Arial" w:hAnsi="Arial" w:cs="Arial"/>
          <w:b/>
          <w:bCs/>
          <w:sz w:val="24"/>
          <w:szCs w:val="24"/>
        </w:rPr>
        <w:t xml:space="preserve"> </w:t>
      </w:r>
      <w:r w:rsidR="007507CC">
        <w:rPr>
          <w:rFonts w:ascii="Arial" w:hAnsi="Arial" w:cs="Arial"/>
          <w:b/>
          <w:bCs/>
          <w:sz w:val="24"/>
          <w:szCs w:val="24"/>
        </w:rPr>
        <w:t>ANÁLISE EXPLORATÓRIA DE DADOS</w:t>
      </w:r>
    </w:p>
    <w:p w:rsidRPr="000164CB" w:rsidR="005713B7" w:rsidP="000164CB" w:rsidRDefault="005713B7" w14:paraId="2982B786" w14:textId="77777777">
      <w:pPr>
        <w:spacing w:after="0" w:line="360" w:lineRule="auto"/>
        <w:jc w:val="center"/>
        <w:rPr>
          <w:rFonts w:ascii="Arial" w:hAnsi="Arial" w:cs="Arial"/>
          <w:b/>
          <w:bCs/>
          <w:sz w:val="24"/>
          <w:szCs w:val="24"/>
        </w:rPr>
      </w:pPr>
    </w:p>
    <w:p w:rsidRPr="001115F1" w:rsidR="001115F1" w:rsidP="00A53B3C" w:rsidRDefault="00A53B3C" w14:paraId="3FD0DDEA" w14:textId="2E1CF7A4">
      <w:pPr>
        <w:pStyle w:val="PargrafodaLista"/>
        <w:numPr>
          <w:ilvl w:val="0"/>
          <w:numId w:val="10"/>
        </w:numPr>
        <w:spacing w:after="0" w:line="360" w:lineRule="auto"/>
        <w:rPr>
          <w:rFonts w:ascii="Arial" w:hAnsi="Arial" w:cs="Arial"/>
          <w:sz w:val="24"/>
          <w:szCs w:val="24"/>
        </w:rPr>
      </w:pPr>
      <w:r w:rsidRPr="00A53B3C">
        <w:rPr>
          <w:rFonts w:ascii="Arial" w:hAnsi="Arial" w:cs="Arial"/>
          <w:b/>
          <w:bCs/>
          <w:sz w:val="24"/>
          <w:szCs w:val="24"/>
        </w:rPr>
        <w:t>EXPLORE — Conhecer os dados</w:t>
      </w:r>
    </w:p>
    <w:p w:rsidRPr="001115F1" w:rsidR="001115F1" w:rsidP="001115F1" w:rsidRDefault="001115F1" w14:paraId="285509C6" w14:textId="77777777">
      <w:pPr>
        <w:pStyle w:val="PargrafodaLista"/>
        <w:spacing w:after="0" w:line="360" w:lineRule="auto"/>
        <w:ind w:left="1068"/>
        <w:rPr>
          <w:rFonts w:ascii="Arial" w:hAnsi="Arial" w:cs="Arial"/>
          <w:sz w:val="24"/>
          <w:szCs w:val="24"/>
        </w:rPr>
      </w:pPr>
    </w:p>
    <w:p w:rsidRPr="001115F1" w:rsidR="001115F1" w:rsidP="001115F1" w:rsidRDefault="001115F1" w14:paraId="55DBCBAF" w14:textId="77777777">
      <w:pPr>
        <w:pStyle w:val="PargrafodaLista"/>
        <w:numPr>
          <w:ilvl w:val="1"/>
          <w:numId w:val="10"/>
        </w:numPr>
        <w:spacing w:after="0" w:line="360" w:lineRule="auto"/>
        <w:rPr>
          <w:rFonts w:ascii="Arial" w:hAnsi="Arial" w:cs="Arial"/>
          <w:b/>
          <w:bCs/>
          <w:sz w:val="24"/>
          <w:szCs w:val="24"/>
        </w:rPr>
      </w:pPr>
      <w:r w:rsidRPr="001115F1">
        <w:rPr>
          <w:rFonts w:ascii="Arial" w:hAnsi="Arial" w:cs="Arial"/>
          <w:b/>
          <w:bCs/>
          <w:sz w:val="24"/>
          <w:szCs w:val="24"/>
        </w:rPr>
        <w:t>Caracterização</w:t>
      </w:r>
    </w:p>
    <w:p w:rsidRPr="001115F1" w:rsidR="001115F1" w:rsidP="001115F1" w:rsidRDefault="001115F1" w14:paraId="63FDD6EA" w14:textId="6282FAC9">
      <w:pPr>
        <w:pStyle w:val="PargrafodaLista"/>
        <w:spacing w:after="0" w:line="360" w:lineRule="auto"/>
        <w:ind w:left="1788"/>
        <w:rPr>
          <w:rFonts w:ascii="Arial" w:hAnsi="Arial" w:cs="Arial"/>
          <w:sz w:val="24"/>
          <w:szCs w:val="24"/>
        </w:rPr>
      </w:pPr>
      <w:r w:rsidRPr="001115F1">
        <w:rPr>
          <w:rFonts w:ascii="Arial" w:hAnsi="Arial" w:cs="Arial"/>
          <w:sz w:val="24"/>
          <w:szCs w:val="24"/>
        </w:rPr>
        <w:tab/>
      </w:r>
    </w:p>
    <w:tbl>
      <w:tblPr>
        <w:tblStyle w:val="Tabelacomgrade"/>
        <w:tblW w:w="0" w:type="auto"/>
        <w:jc w:val="center"/>
        <w:tblLook w:val="04A0" w:firstRow="1" w:lastRow="0" w:firstColumn="1" w:lastColumn="0" w:noHBand="0" w:noVBand="1"/>
      </w:tblPr>
      <w:tblGrid>
        <w:gridCol w:w="1929"/>
        <w:gridCol w:w="4587"/>
      </w:tblGrid>
      <w:tr w:rsidRPr="00A53B3C" w:rsidR="00A53B3C" w:rsidTr="00A53B3C" w14:paraId="6A9EABEC" w14:textId="77777777">
        <w:trPr>
          <w:jc w:val="center"/>
        </w:trPr>
        <w:tc>
          <w:tcPr>
            <w:tcW w:w="0" w:type="auto"/>
            <w:hideMark/>
          </w:tcPr>
          <w:p w:rsidRPr="00A53B3C" w:rsidR="00A53B3C" w:rsidP="00A53B3C" w:rsidRDefault="00A53B3C" w14:paraId="59A4C8AA" w14:textId="77777777">
            <w:pPr>
              <w:jc w:val="center"/>
              <w:rPr>
                <w:rFonts w:ascii="Arial" w:hAnsi="Arial" w:eastAsia="Times New Roman" w:cs="Arial"/>
                <w:b/>
                <w:bCs/>
                <w:sz w:val="20"/>
                <w:szCs w:val="20"/>
                <w:lang w:eastAsia="pt-BR"/>
              </w:rPr>
            </w:pPr>
            <w:r w:rsidRPr="00A53B3C">
              <w:rPr>
                <w:rFonts w:ascii="Arial" w:hAnsi="Arial" w:eastAsia="Times New Roman" w:cs="Arial"/>
                <w:b/>
                <w:bCs/>
                <w:sz w:val="20"/>
                <w:szCs w:val="20"/>
                <w:lang w:eastAsia="pt-BR"/>
              </w:rPr>
              <w:t>Aspecto</w:t>
            </w:r>
          </w:p>
        </w:tc>
        <w:tc>
          <w:tcPr>
            <w:tcW w:w="4587" w:type="dxa"/>
            <w:hideMark/>
          </w:tcPr>
          <w:p w:rsidRPr="00A53B3C" w:rsidR="00A53B3C" w:rsidP="00A53B3C" w:rsidRDefault="00A53B3C" w14:paraId="21B2FCF3" w14:textId="77777777">
            <w:pPr>
              <w:jc w:val="center"/>
              <w:rPr>
                <w:rFonts w:ascii="Arial" w:hAnsi="Arial" w:eastAsia="Times New Roman" w:cs="Arial"/>
                <w:b/>
                <w:bCs/>
                <w:sz w:val="20"/>
                <w:szCs w:val="20"/>
                <w:lang w:eastAsia="pt-BR"/>
              </w:rPr>
            </w:pPr>
            <w:r w:rsidRPr="00A53B3C">
              <w:rPr>
                <w:rFonts w:ascii="Arial" w:hAnsi="Arial" w:eastAsia="Times New Roman" w:cs="Arial"/>
                <w:b/>
                <w:bCs/>
                <w:sz w:val="20"/>
                <w:szCs w:val="20"/>
                <w:lang w:eastAsia="pt-BR"/>
              </w:rPr>
              <w:t>Resultado</w:t>
            </w:r>
          </w:p>
        </w:tc>
      </w:tr>
      <w:tr w:rsidRPr="00A53B3C" w:rsidR="00A53B3C" w:rsidTr="00A53B3C" w14:paraId="359D6A40" w14:textId="77777777">
        <w:trPr>
          <w:jc w:val="center"/>
        </w:trPr>
        <w:tc>
          <w:tcPr>
            <w:tcW w:w="0" w:type="auto"/>
            <w:hideMark/>
          </w:tcPr>
          <w:p w:rsidRPr="00A53B3C" w:rsidR="00A53B3C" w:rsidP="00A53B3C" w:rsidRDefault="00A53B3C" w14:paraId="64367F08" w14:textId="77777777">
            <w:pPr>
              <w:rPr>
                <w:rFonts w:ascii="Arial" w:hAnsi="Arial" w:eastAsia="Times New Roman" w:cs="Arial"/>
                <w:sz w:val="20"/>
                <w:szCs w:val="20"/>
                <w:lang w:eastAsia="pt-BR"/>
              </w:rPr>
            </w:pPr>
            <w:r w:rsidRPr="00A53B3C">
              <w:rPr>
                <w:rFonts w:ascii="Arial" w:hAnsi="Arial" w:eastAsia="Times New Roman" w:cs="Arial"/>
                <w:sz w:val="20"/>
                <w:szCs w:val="20"/>
                <w:lang w:eastAsia="pt-BR"/>
              </w:rPr>
              <w:t>Base de dados</w:t>
            </w:r>
          </w:p>
        </w:tc>
        <w:tc>
          <w:tcPr>
            <w:tcW w:w="4587" w:type="dxa"/>
            <w:hideMark/>
          </w:tcPr>
          <w:p>
            <w:r/>
            <w:r>
              <w:rPr>
                <w:b w:val="0"/>
                <w:sz w:val="18"/>
              </w:rPr>
              <w:t>Microdados de CAT — Comunicação de Acidente de Trabalho, do Regime Geral de Previdência Social.</w:t>
            </w:r>
          </w:p>
        </w:tc>
      </w:tr>
      <w:tr w:rsidRPr="00A53B3C" w:rsidR="00A53B3C" w:rsidTr="00A53B3C" w14:paraId="6DDD30A5" w14:textId="77777777">
        <w:trPr>
          <w:jc w:val="center"/>
        </w:trPr>
        <w:tc>
          <w:tcPr>
            <w:tcW w:w="0" w:type="auto"/>
            <w:hideMark/>
          </w:tcPr>
          <w:p w:rsidRPr="00A53B3C" w:rsidR="00A53B3C" w:rsidP="00A53B3C" w:rsidRDefault="00A53B3C" w14:paraId="7301F1F6" w14:textId="77777777">
            <w:pPr>
              <w:rPr>
                <w:rFonts w:ascii="Arial" w:hAnsi="Arial" w:eastAsia="Times New Roman" w:cs="Arial"/>
                <w:sz w:val="20"/>
                <w:szCs w:val="20"/>
                <w:lang w:eastAsia="pt-BR"/>
              </w:rPr>
            </w:pPr>
            <w:r w:rsidRPr="00A53B3C">
              <w:rPr>
                <w:rFonts w:ascii="Arial" w:hAnsi="Arial" w:eastAsia="Times New Roman" w:cs="Arial"/>
                <w:sz w:val="20"/>
                <w:szCs w:val="20"/>
                <w:lang w:eastAsia="pt-BR"/>
              </w:rPr>
              <w:t>Fonte</w:t>
            </w:r>
          </w:p>
        </w:tc>
        <w:tc>
          <w:tcPr>
            <w:tcW w:w="4587" w:type="dxa"/>
            <w:hideMark/>
          </w:tcPr>
          <w:p>
            <w:r/>
            <w:r>
              <w:rPr>
                <w:b w:val="0"/>
                <w:sz w:val="18"/>
              </w:rPr>
              <w:t>Dados Abertos da Previdência Social. Os 61 arquivos CSV foram disponibilizados pelo grupo em bucket do Google Cloud Storage (gs://acidentes-no-trabalho/cats/), totalizando 1,8 GB. Dicionário oficial de 10/02/2021.</w:t>
            </w:r>
          </w:p>
        </w:tc>
      </w:tr>
      <w:tr w:rsidRPr="00A53B3C" w:rsidR="00A53B3C" w:rsidTr="00A53B3C" w14:paraId="1AA509A6" w14:textId="77777777">
        <w:trPr>
          <w:jc w:val="center"/>
        </w:trPr>
        <w:tc>
          <w:tcPr>
            <w:tcW w:w="0" w:type="auto"/>
            <w:hideMark/>
          </w:tcPr>
          <w:p w:rsidRPr="00A53B3C" w:rsidR="00A53B3C" w:rsidP="00A53B3C" w:rsidRDefault="00A53B3C" w14:paraId="59A01FE1" w14:textId="77777777">
            <w:pPr>
              <w:rPr>
                <w:rFonts w:ascii="Arial" w:hAnsi="Arial" w:eastAsia="Times New Roman" w:cs="Arial"/>
                <w:sz w:val="20"/>
                <w:szCs w:val="20"/>
                <w:lang w:eastAsia="pt-BR"/>
              </w:rPr>
            </w:pPr>
            <w:r w:rsidRPr="00A53B3C">
              <w:rPr>
                <w:rFonts w:ascii="Arial" w:hAnsi="Arial" w:eastAsia="Times New Roman" w:cs="Arial"/>
                <w:sz w:val="20"/>
                <w:szCs w:val="20"/>
                <w:lang w:eastAsia="pt-BR"/>
              </w:rPr>
              <w:t>Unidade de análise</w:t>
            </w:r>
          </w:p>
        </w:tc>
        <w:tc>
          <w:tcPr>
            <w:tcW w:w="4587" w:type="dxa"/>
            <w:hideMark/>
          </w:tcPr>
          <w:p>
            <w:r/>
            <w:r>
              <w:rPr>
                <w:b w:val="0"/>
                <w:sz w:val="18"/>
              </w:rPr>
              <w:t>Uma CAT emitida — isto é, a comunicação de um acidente de trabalho sofrido por um segurado. Os registros não possuem identificador único.</w:t>
            </w:r>
          </w:p>
        </w:tc>
      </w:tr>
      <w:tr w:rsidRPr="00A53B3C" w:rsidR="00A53B3C" w:rsidTr="00A53B3C" w14:paraId="2AD0D999" w14:textId="77777777">
        <w:trPr>
          <w:jc w:val="center"/>
        </w:trPr>
        <w:tc>
          <w:tcPr>
            <w:tcW w:w="0" w:type="auto"/>
            <w:hideMark/>
          </w:tcPr>
          <w:p w:rsidRPr="00A53B3C" w:rsidR="00A53B3C" w:rsidP="00A53B3C" w:rsidRDefault="00A53B3C" w14:paraId="486FDE7A" w14:textId="77777777">
            <w:pPr>
              <w:rPr>
                <w:rFonts w:ascii="Arial" w:hAnsi="Arial" w:eastAsia="Times New Roman" w:cs="Arial"/>
                <w:sz w:val="20"/>
                <w:szCs w:val="20"/>
                <w:lang w:eastAsia="pt-BR"/>
              </w:rPr>
            </w:pPr>
            <w:r w:rsidRPr="00A53B3C">
              <w:rPr>
                <w:rFonts w:ascii="Arial" w:hAnsi="Arial" w:eastAsia="Times New Roman" w:cs="Arial"/>
                <w:sz w:val="20"/>
                <w:szCs w:val="20"/>
                <w:lang w:eastAsia="pt-BR"/>
              </w:rPr>
              <w:t>Nº de observações</w:t>
            </w:r>
          </w:p>
        </w:tc>
        <w:tc>
          <w:tcPr>
            <w:tcW w:w="4587" w:type="dxa"/>
            <w:hideMark/>
          </w:tcPr>
          <w:p>
            <w:r/>
            <w:r>
              <w:rPr>
                <w:b w:val="0"/>
                <w:sz w:val="18"/>
              </w:rPr>
              <w:t>3.931.904 linhas nos arquivos; 3.473.749 registros únicos após identificar 458.155 republicações (11,7%) do mesmo registro em competências diferentes.</w:t>
            </w:r>
          </w:p>
        </w:tc>
      </w:tr>
      <w:tr w:rsidRPr="00A53B3C" w:rsidR="00A53B3C" w:rsidTr="00A53B3C" w14:paraId="2E66630D" w14:textId="77777777">
        <w:trPr>
          <w:jc w:val="center"/>
        </w:trPr>
        <w:tc>
          <w:tcPr>
            <w:tcW w:w="0" w:type="auto"/>
            <w:hideMark/>
          </w:tcPr>
          <w:p w:rsidRPr="00A53B3C" w:rsidR="00A53B3C" w:rsidP="00A53B3C" w:rsidRDefault="00A53B3C" w14:paraId="293886EB" w14:textId="77777777">
            <w:pPr>
              <w:rPr>
                <w:rFonts w:ascii="Arial" w:hAnsi="Arial" w:eastAsia="Times New Roman" w:cs="Arial"/>
                <w:sz w:val="20"/>
                <w:szCs w:val="20"/>
                <w:lang w:eastAsia="pt-BR"/>
              </w:rPr>
            </w:pPr>
            <w:r w:rsidRPr="00A53B3C">
              <w:rPr>
                <w:rFonts w:ascii="Arial" w:hAnsi="Arial" w:eastAsia="Times New Roman" w:cs="Arial"/>
                <w:sz w:val="20"/>
                <w:szCs w:val="20"/>
                <w:lang w:eastAsia="pt-BR"/>
              </w:rPr>
              <w:t>Nº de variáveis</w:t>
            </w:r>
          </w:p>
        </w:tc>
        <w:tc>
          <w:tcPr>
            <w:tcW w:w="4587" w:type="dxa"/>
            <w:hideMark/>
          </w:tcPr>
          <w:p>
            <w:r/>
            <w:r>
              <w:rPr>
                <w:b w:val="0"/>
                <w:sz w:val="18"/>
              </w:rPr>
              <w:t>24 variáveis no dicionário oficial. Após unificar os cinco leiautes do acervo: 25 colunas canônicas, mais 6 derivadas (código e nome do município, sigla da UF, ano, mês e idade) e 3 de proveniência (arquivo, leiaute, duplicata).</w:t>
            </w:r>
          </w:p>
        </w:tc>
      </w:tr>
      <w:tr w:rsidRPr="00A53B3C" w:rsidR="00A53B3C" w:rsidTr="00A53B3C" w14:paraId="08F3E6A0" w14:textId="77777777">
        <w:trPr>
          <w:jc w:val="center"/>
        </w:trPr>
        <w:tc>
          <w:tcPr>
            <w:tcW w:w="0" w:type="auto"/>
            <w:hideMark/>
          </w:tcPr>
          <w:p w:rsidRPr="00A53B3C" w:rsidR="00A53B3C" w:rsidP="00A53B3C" w:rsidRDefault="00A53B3C" w14:paraId="28F2BFAB" w14:textId="77777777">
            <w:pPr>
              <w:rPr>
                <w:rFonts w:ascii="Arial" w:hAnsi="Arial" w:eastAsia="Times New Roman" w:cs="Arial"/>
                <w:sz w:val="20"/>
                <w:szCs w:val="20"/>
                <w:lang w:eastAsia="pt-BR"/>
              </w:rPr>
            </w:pPr>
            <w:r w:rsidRPr="00A53B3C">
              <w:rPr>
                <w:rFonts w:ascii="Arial" w:hAnsi="Arial" w:eastAsia="Times New Roman" w:cs="Arial"/>
                <w:sz w:val="20"/>
                <w:szCs w:val="20"/>
                <w:lang w:eastAsia="pt-BR"/>
              </w:rPr>
              <w:t>Período</w:t>
            </w:r>
          </w:p>
        </w:tc>
        <w:tc>
          <w:tcPr>
            <w:tcW w:w="4587" w:type="dxa"/>
            <w:hideMark/>
          </w:tcPr>
          <w:p>
            <w:r/>
            <w:r>
              <w:rPr>
                <w:b w:val="0"/>
                <w:sz w:val="18"/>
              </w:rPr>
              <w:t>Acidentes ocorridos entre janeiro de 2019 e junho de 2026. A cobertura é irregular: os arquivos são organizados por mês de emissão da CAT, não por data do acidente.</w:t>
            </w:r>
          </w:p>
        </w:tc>
      </w:tr>
      <w:tr w:rsidRPr="00A53B3C" w:rsidR="00A53B3C" w:rsidTr="00A53B3C" w14:paraId="54D32A2E" w14:textId="77777777">
        <w:trPr>
          <w:jc w:val="center"/>
        </w:trPr>
        <w:tc>
          <w:tcPr>
            <w:tcW w:w="0" w:type="auto"/>
            <w:hideMark/>
          </w:tcPr>
          <w:p w:rsidRPr="00A53B3C" w:rsidR="00A53B3C" w:rsidP="00A53B3C" w:rsidRDefault="00A53B3C" w14:paraId="0FE342DF" w14:textId="77777777">
            <w:pPr>
              <w:rPr>
                <w:rFonts w:ascii="Arial" w:hAnsi="Arial" w:eastAsia="Times New Roman" w:cs="Arial"/>
                <w:sz w:val="20"/>
                <w:szCs w:val="20"/>
                <w:lang w:eastAsia="pt-BR"/>
              </w:rPr>
            </w:pPr>
            <w:r w:rsidRPr="00A53B3C">
              <w:rPr>
                <w:rFonts w:ascii="Arial" w:hAnsi="Arial" w:eastAsia="Times New Roman" w:cs="Arial"/>
                <w:sz w:val="20"/>
                <w:szCs w:val="20"/>
                <w:lang w:eastAsia="pt-BR"/>
              </w:rPr>
              <w:t>Principais variáveis</w:t>
            </w:r>
          </w:p>
        </w:tc>
        <w:tc>
          <w:tcPr>
            <w:tcW w:w="4587" w:type="dxa"/>
            <w:hideMark/>
          </w:tcPr>
          <w:p>
            <w:r/>
            <w:r>
              <w:rPr>
                <w:b w:val="0"/>
                <w:sz w:val="18"/>
              </w:rPr>
              <w:t>data_acidente; tipo_acidente (típico, trajeto, doença); indica_obito; sexo; idade_acidente (derivada); cnae_codigo (setor econômico); cbo_codigo (ocupação); cid10_codigo (diagnóstico); natureza_lesao; parte_corpo_atingida; municipio_empregador e uf_empregador_sigla (derivada do código IBGE).</w:t>
            </w:r>
          </w:p>
        </w:tc>
      </w:tr>
    </w:tbl>
    <w:p w:rsidR="00A53B3C" w:rsidP="00A53B3C" w:rsidRDefault="00A53B3C" w14:paraId="113E9953" w14:textId="04D17BA4">
      <w:pPr>
        <w:spacing w:after="0" w:line="360" w:lineRule="auto"/>
        <w:rPr>
          <w:rFonts w:ascii="Arial" w:hAnsi="Arial" w:cs="Arial"/>
          <w:sz w:val="24"/>
          <w:szCs w:val="24"/>
        </w:rPr>
      </w:pPr>
    </w:p>
    <w:p w:rsidR="001115F1" w:rsidP="001115F1" w:rsidRDefault="001115F1" w14:paraId="7380F7D9" w14:textId="3B7BBC82">
      <w:pPr>
        <w:pStyle w:val="PargrafodaLista"/>
        <w:numPr>
          <w:ilvl w:val="1"/>
          <w:numId w:val="10"/>
        </w:numPr>
        <w:spacing w:after="0" w:line="360" w:lineRule="auto"/>
        <w:rPr>
          <w:rFonts w:ascii="Arial" w:hAnsi="Arial" w:cs="Arial"/>
          <w:b/>
          <w:bCs/>
          <w:sz w:val="24"/>
          <w:szCs w:val="24"/>
        </w:rPr>
      </w:pPr>
      <w:r w:rsidRPr="001115F1">
        <w:rPr>
          <w:rFonts w:ascii="Arial" w:hAnsi="Arial" w:cs="Arial"/>
          <w:b/>
          <w:bCs/>
          <w:sz w:val="24"/>
          <w:szCs w:val="24"/>
        </w:rPr>
        <w:t>Diagnóstico</w:t>
      </w:r>
    </w:p>
    <w:p w:rsidRPr="00070FBF" w:rsidR="00070FBF" w:rsidP="00070FBF" w:rsidRDefault="00070FBF" w14:paraId="7BE0EE7B" w14:textId="77777777">
      <w:pPr>
        <w:pStyle w:val="PargrafodaLista"/>
        <w:numPr>
          <w:ilvl w:val="2"/>
          <w:numId w:val="10"/>
        </w:numPr>
        <w:spacing w:after="0" w:line="360" w:lineRule="auto"/>
        <w:rPr>
          <w:rFonts w:ascii="Arial" w:hAnsi="Arial" w:cs="Arial"/>
          <w:sz w:val="24"/>
          <w:szCs w:val="24"/>
        </w:rPr>
      </w:pPr>
      <w:r w:rsidRPr="00070FBF">
        <w:rPr>
          <w:rFonts w:ascii="Arial" w:hAnsi="Arial" w:cs="Arial"/>
          <w:sz w:val="24"/>
          <w:szCs w:val="24"/>
        </w:rPr>
        <w:t>Investigue:</w:t>
      </w:r>
    </w:p>
    <w:p w:rsidRPr="00070FBF" w:rsidR="00070FBF" w:rsidP="00070FBF" w:rsidRDefault="00070FBF" w14:paraId="7F29DDB0" w14:textId="77777777">
      <w:pPr>
        <w:pStyle w:val="PargrafodaLista"/>
        <w:numPr>
          <w:ilvl w:val="3"/>
          <w:numId w:val="10"/>
        </w:numPr>
        <w:spacing w:after="0" w:line="360" w:lineRule="auto"/>
        <w:rPr>
          <w:rFonts w:ascii="Arial" w:hAnsi="Arial" w:cs="Arial"/>
          <w:sz w:val="24"/>
          <w:szCs w:val="24"/>
        </w:rPr>
      </w:pPr>
      <w:r w:rsidRPr="00070FBF">
        <w:rPr>
          <w:rFonts w:ascii="Arial" w:hAnsi="Arial" w:cs="Arial"/>
          <w:sz w:val="24"/>
          <w:szCs w:val="24"/>
        </w:rPr>
        <w:t xml:space="preserve">dados ausentes; </w:t>
      </w:r>
    </w:p>
    <w:p w:rsidRPr="00070FBF" w:rsidR="00070FBF" w:rsidP="00070FBF" w:rsidRDefault="00070FBF" w14:paraId="042AB6A2" w14:textId="77777777">
      <w:pPr>
        <w:pStyle w:val="PargrafodaLista"/>
        <w:numPr>
          <w:ilvl w:val="3"/>
          <w:numId w:val="10"/>
        </w:numPr>
        <w:spacing w:after="0" w:line="360" w:lineRule="auto"/>
        <w:rPr>
          <w:rFonts w:ascii="Arial" w:hAnsi="Arial" w:cs="Arial"/>
          <w:sz w:val="24"/>
          <w:szCs w:val="24"/>
        </w:rPr>
      </w:pPr>
      <w:r w:rsidRPr="00070FBF">
        <w:rPr>
          <w:rFonts w:ascii="Arial" w:hAnsi="Arial" w:cs="Arial"/>
          <w:sz w:val="24"/>
          <w:szCs w:val="24"/>
        </w:rPr>
        <w:t xml:space="preserve">duplicidades; </w:t>
      </w:r>
    </w:p>
    <w:p w:rsidRPr="00070FBF" w:rsidR="00070FBF" w:rsidP="00070FBF" w:rsidRDefault="00070FBF" w14:paraId="75AD048B" w14:textId="77777777">
      <w:pPr>
        <w:pStyle w:val="PargrafodaLista"/>
        <w:numPr>
          <w:ilvl w:val="3"/>
          <w:numId w:val="10"/>
        </w:numPr>
        <w:spacing w:after="0" w:line="360" w:lineRule="auto"/>
        <w:rPr>
          <w:rFonts w:ascii="Arial" w:hAnsi="Arial" w:cs="Arial"/>
          <w:sz w:val="24"/>
          <w:szCs w:val="24"/>
        </w:rPr>
      </w:pPr>
      <w:r w:rsidRPr="00070FBF">
        <w:rPr>
          <w:rFonts w:ascii="Arial" w:hAnsi="Arial" w:cs="Arial"/>
          <w:sz w:val="24"/>
          <w:szCs w:val="24"/>
        </w:rPr>
        <w:t xml:space="preserve">inconsistências; </w:t>
      </w:r>
    </w:p>
    <w:p w:rsidRPr="00070FBF" w:rsidR="00070FBF" w:rsidP="00070FBF" w:rsidRDefault="00070FBF" w14:paraId="09944255" w14:textId="77777777">
      <w:pPr>
        <w:pStyle w:val="PargrafodaLista"/>
        <w:numPr>
          <w:ilvl w:val="3"/>
          <w:numId w:val="10"/>
        </w:numPr>
        <w:spacing w:after="0" w:line="360" w:lineRule="auto"/>
        <w:rPr>
          <w:rFonts w:ascii="Arial" w:hAnsi="Arial" w:cs="Arial"/>
          <w:sz w:val="24"/>
          <w:szCs w:val="24"/>
        </w:rPr>
      </w:pPr>
      <w:r w:rsidRPr="00070FBF">
        <w:rPr>
          <w:rFonts w:ascii="Arial" w:hAnsi="Arial" w:cs="Arial"/>
          <w:sz w:val="24"/>
          <w:szCs w:val="24"/>
        </w:rPr>
        <w:t xml:space="preserve">valores extremos; </w:t>
      </w:r>
    </w:p>
    <w:p w:rsidRPr="00070FBF" w:rsidR="00070FBF" w:rsidP="00070FBF" w:rsidRDefault="00070FBF" w14:paraId="17C177D8" w14:textId="77777777">
      <w:pPr>
        <w:pStyle w:val="PargrafodaLista"/>
        <w:numPr>
          <w:ilvl w:val="3"/>
          <w:numId w:val="10"/>
        </w:numPr>
        <w:spacing w:after="0" w:line="360" w:lineRule="auto"/>
        <w:rPr>
          <w:rFonts w:ascii="Arial" w:hAnsi="Arial" w:cs="Arial"/>
          <w:sz w:val="24"/>
          <w:szCs w:val="24"/>
        </w:rPr>
      </w:pPr>
      <w:r w:rsidRPr="00070FBF">
        <w:rPr>
          <w:rFonts w:ascii="Arial" w:hAnsi="Arial" w:cs="Arial"/>
          <w:sz w:val="24"/>
          <w:szCs w:val="24"/>
        </w:rPr>
        <w:t xml:space="preserve">categorias pouco representadas; </w:t>
      </w:r>
    </w:p>
    <w:p w:rsidR="00070FBF" w:rsidP="00070FBF" w:rsidRDefault="00070FBF" w14:paraId="741F5F73" w14:textId="616F805C">
      <w:pPr>
        <w:pStyle w:val="PargrafodaLista"/>
        <w:numPr>
          <w:ilvl w:val="3"/>
          <w:numId w:val="10"/>
        </w:numPr>
        <w:spacing w:after="0" w:line="360" w:lineRule="auto"/>
        <w:rPr>
          <w:rFonts w:ascii="Arial" w:hAnsi="Arial" w:cs="Arial"/>
          <w:sz w:val="24"/>
          <w:szCs w:val="24"/>
        </w:rPr>
      </w:pPr>
      <w:r w:rsidRPr="00070FBF">
        <w:rPr>
          <w:rFonts w:ascii="Arial" w:hAnsi="Arial" w:cs="Arial"/>
          <w:sz w:val="24"/>
          <w:szCs w:val="24"/>
        </w:rPr>
        <w:t>possíveis limitações dos dados.</w:t>
      </w:r>
    </w:p>
    <w:p w:rsidR="00E6137D" w:rsidP="00E6137D" w:rsidRDefault="00E6137D" w14:paraId="0D9C4582" w14:textId="4A92F060">
      <w:pPr>
        <w:spacing w:after="0" w:line="360" w:lineRule="auto"/>
        <w:rPr>
          <w:rFonts w:ascii="Arial" w:hAnsi="Arial" w:cs="Arial"/>
          <w:sz w:val="24"/>
          <w:szCs w:val="24"/>
        </w:rPr>
      </w:pPr>
    </w:p>
    <w:tbl>
      <w:tblPr>
        <w:tblStyle w:val="Tabelacomgrade"/>
        <w:tblW w:w="0" w:type="auto"/>
        <w:jc w:val="center"/>
        <w:tblLook w:val="04A0" w:firstRow="1" w:lastRow="0" w:firstColumn="1" w:lastColumn="0" w:noHBand="0" w:noVBand="1"/>
      </w:tblPr>
      <w:tblGrid>
        <w:gridCol w:w="2172"/>
        <w:gridCol w:w="1998"/>
        <w:gridCol w:w="2126"/>
      </w:tblGrid>
      <w:tr w:rsidRPr="00E6137D" w:rsidR="00E6137D" w:rsidTr="00E6137D" w14:paraId="716A8AED" w14:textId="77777777">
        <w:trPr>
          <w:jc w:val="center"/>
        </w:trPr>
        <w:tc>
          <w:tcPr>
            <w:tcW w:w="0" w:type="auto"/>
            <w:hideMark/>
          </w:tcPr>
          <w:p w:rsidRPr="00E6137D" w:rsidR="00E6137D" w:rsidP="00E6137D" w:rsidRDefault="00E6137D" w14:paraId="4035CEDF" w14:textId="77777777">
            <w:pPr>
              <w:jc w:val="center"/>
              <w:rPr>
                <w:rFonts w:ascii="Arial" w:hAnsi="Arial" w:eastAsia="Times New Roman" w:cs="Arial"/>
                <w:b/>
                <w:bCs/>
                <w:sz w:val="20"/>
                <w:szCs w:val="20"/>
                <w:lang w:eastAsia="pt-BR"/>
              </w:rPr>
            </w:pPr>
            <w:r w:rsidRPr="00E6137D">
              <w:rPr>
                <w:rFonts w:ascii="Arial" w:hAnsi="Arial" w:eastAsia="Times New Roman" w:cs="Arial"/>
                <w:b/>
                <w:bCs/>
                <w:sz w:val="20"/>
                <w:szCs w:val="20"/>
                <w:lang w:eastAsia="pt-BR"/>
              </w:rPr>
              <w:t>Aspecto investigado</w:t>
            </w:r>
          </w:p>
        </w:tc>
        <w:tc>
          <w:tcPr>
            <w:tcW w:w="1998" w:type="dxa"/>
            <w:hideMark/>
          </w:tcPr>
          <w:p w:rsidRPr="00E6137D" w:rsidR="00E6137D" w:rsidP="00E6137D" w:rsidRDefault="00E6137D" w14:paraId="6B4E0B43" w14:textId="77777777">
            <w:pPr>
              <w:jc w:val="center"/>
              <w:rPr>
                <w:rFonts w:ascii="Arial" w:hAnsi="Arial" w:eastAsia="Times New Roman" w:cs="Arial"/>
                <w:b/>
                <w:bCs/>
                <w:sz w:val="20"/>
                <w:szCs w:val="20"/>
                <w:lang w:eastAsia="pt-BR"/>
              </w:rPr>
            </w:pPr>
            <w:r w:rsidRPr="00E6137D">
              <w:rPr>
                <w:rFonts w:ascii="Arial" w:hAnsi="Arial" w:eastAsia="Times New Roman" w:cs="Arial"/>
                <w:b/>
                <w:bCs/>
                <w:sz w:val="20"/>
                <w:szCs w:val="20"/>
                <w:lang w:eastAsia="pt-BR"/>
              </w:rPr>
              <w:t>Resultado</w:t>
            </w:r>
          </w:p>
        </w:tc>
        <w:tc>
          <w:tcPr>
            <w:tcW w:w="2126" w:type="dxa"/>
            <w:hideMark/>
          </w:tcPr>
          <w:p w:rsidRPr="00E6137D" w:rsidR="00E6137D" w:rsidP="00E6137D" w:rsidRDefault="00E6137D" w14:paraId="2C1309C5" w14:textId="77777777">
            <w:pPr>
              <w:jc w:val="center"/>
              <w:rPr>
                <w:rFonts w:ascii="Arial" w:hAnsi="Arial" w:eastAsia="Times New Roman" w:cs="Arial"/>
                <w:b/>
                <w:bCs/>
                <w:sz w:val="20"/>
                <w:szCs w:val="20"/>
                <w:lang w:eastAsia="pt-BR"/>
              </w:rPr>
            </w:pPr>
            <w:r w:rsidRPr="00E6137D">
              <w:rPr>
                <w:rFonts w:ascii="Arial" w:hAnsi="Arial" w:eastAsia="Times New Roman" w:cs="Arial"/>
                <w:b/>
                <w:bCs/>
                <w:sz w:val="20"/>
                <w:szCs w:val="20"/>
                <w:lang w:eastAsia="pt-BR"/>
              </w:rPr>
              <w:t>Evidência</w:t>
            </w:r>
          </w:p>
        </w:tc>
      </w:tr>
      <w:tr w:rsidRPr="00E6137D" w:rsidR="00E6137D" w:rsidTr="00E6137D" w14:paraId="307929EE" w14:textId="77777777">
        <w:trPr>
          <w:jc w:val="center"/>
        </w:trPr>
        <w:tc>
          <w:tcPr>
            <w:tcW w:w="0" w:type="auto"/>
            <w:hideMark/>
          </w:tcPr>
          <w:p w:rsidRPr="00E6137D" w:rsidR="00E6137D" w:rsidP="00E6137D" w:rsidRDefault="00E6137D" w14:paraId="1F60A76D" w14:textId="77777777">
            <w:pPr>
              <w:rPr>
                <w:rFonts w:ascii="Arial" w:hAnsi="Arial" w:eastAsia="Times New Roman" w:cs="Arial"/>
                <w:sz w:val="20"/>
                <w:szCs w:val="20"/>
                <w:lang w:eastAsia="pt-BR"/>
              </w:rPr>
            </w:pPr>
            <w:r w:rsidRPr="00E6137D">
              <w:rPr>
                <w:rFonts w:ascii="Arial" w:hAnsi="Arial" w:eastAsia="Times New Roman" w:cs="Arial"/>
                <w:sz w:val="20"/>
                <w:szCs w:val="20"/>
                <w:lang w:eastAsia="pt-BR"/>
              </w:rPr>
              <w:t>Dados ausentes</w:t>
            </w:r>
          </w:p>
        </w:tc>
        <w:tc>
          <w:tcPr>
            <w:tcW w:w="1998" w:type="dxa"/>
            <w:hideMark/>
          </w:tcPr>
          <w:p>
            <w:r/>
            <w:r>
              <w:rPr>
                <w:b w:val="0"/>
                <w:sz w:val="18"/>
              </w:rPr>
              <w:t>Ausência majoritariamente ESTRUTURAL, não aleatória: a coluna simplesmente não existe em parte dos leiautes, e todo registro vindo daqueles arquivos fica nulo. Ignorar isso enviesa qualquer análise que use essas colunas.</w:t>
            </w:r>
          </w:p>
        </w:tc>
        <w:tc>
          <w:tcPr>
            <w:tcW w:w="2126" w:type="dxa"/>
            <w:hideMark/>
          </w:tcPr>
          <w:p>
            <w:r/>
            <w:r>
              <w:rPr>
                <w:b w:val="0"/>
                <w:sz w:val="17"/>
              </w:rPr>
              <w:t>data_despacho_beneficio 100% nula; data_afastamento 79,6%; tipo_empregador 63,0% (só existe no leiaute v27); cbo_descricao 41,1% e cid10_descricao 37,1% (ausentes no leiaute v24_sem_descricao, que responde por 1,3 milhão de linhas). Já as variáveis centrais são quase completas: data_acidente 0,0%, sexo 0,0%, tipo_acidente 0,0%, data_nascimento 0,2%.</w:t>
            </w:r>
          </w:p>
        </w:tc>
      </w:tr>
      <w:tr w:rsidRPr="00E6137D" w:rsidR="00E6137D" w:rsidTr="00E6137D" w14:paraId="17C436E1" w14:textId="77777777">
        <w:trPr>
          <w:jc w:val="center"/>
        </w:trPr>
        <w:tc>
          <w:tcPr>
            <w:tcW w:w="0" w:type="auto"/>
            <w:hideMark/>
          </w:tcPr>
          <w:p w:rsidRPr="00E6137D" w:rsidR="00E6137D" w:rsidP="00E6137D" w:rsidRDefault="00E6137D" w14:paraId="334A4D81" w14:textId="77777777">
            <w:pPr>
              <w:rPr>
                <w:rFonts w:ascii="Arial" w:hAnsi="Arial" w:eastAsia="Times New Roman" w:cs="Arial"/>
                <w:sz w:val="20"/>
                <w:szCs w:val="20"/>
                <w:lang w:eastAsia="pt-BR"/>
              </w:rPr>
            </w:pPr>
            <w:r w:rsidRPr="00E6137D">
              <w:rPr>
                <w:rFonts w:ascii="Arial" w:hAnsi="Arial" w:eastAsia="Times New Roman" w:cs="Arial"/>
                <w:sz w:val="20"/>
                <w:szCs w:val="20"/>
                <w:lang w:eastAsia="pt-BR"/>
              </w:rPr>
              <w:t>Duplicidades</w:t>
            </w:r>
          </w:p>
        </w:tc>
        <w:tc>
          <w:tcPr>
            <w:tcW w:w="1998" w:type="dxa"/>
            <w:hideMark/>
          </w:tcPr>
          <w:p>
            <w:r/>
            <w:r>
              <w:rPr>
                <w:b w:val="0"/>
                <w:sz w:val="18"/>
              </w:rPr>
              <w:t>458.155 linhas (11,7%) repetem um registro já presente em outro arquivo. A causa é estrutural: os arquivos são JANELAS SOBREPOSTAS de mês de emissão, não partições disjuntas. Empilhar os 61 arquivos superconta os acidentes em 11,7%.</w:t>
            </w:r>
          </w:p>
        </w:tc>
        <w:tc>
          <w:tcPr>
            <w:tcW w:w="2126" w:type="dxa"/>
            <w:hideMark/>
          </w:tcPr>
          <w:p>
            <w:r/>
            <w:r>
              <w:rPr>
                <w:b w:val="0"/>
                <w:sz w:val="17"/>
              </w:rPr>
              <w:t>99,7% dos grupos repetidos cruzam arquivos (repetição interna é rara). Oito arquivos são republicação integral, sem um único registro novo: 202208 (123.442 linhas), 202204 (89.602), 202508 (72.885), 202209 (70.245), 202405 (57.990), 202210 (26.023), 202211 (5.112) e 202511 (205). A competência 202207 cobre emissões de jul a nov/2022 e a 202208 cobre ago a nov — contida na anterior.</w:t>
            </w:r>
          </w:p>
        </w:tc>
      </w:tr>
      <w:tr w:rsidRPr="00E6137D" w:rsidR="00E6137D" w:rsidTr="00E6137D" w14:paraId="3951F940" w14:textId="77777777">
        <w:trPr>
          <w:jc w:val="center"/>
        </w:trPr>
        <w:tc>
          <w:tcPr>
            <w:tcW w:w="0" w:type="auto"/>
            <w:hideMark/>
          </w:tcPr>
          <w:p w:rsidRPr="00E6137D" w:rsidR="00E6137D" w:rsidP="00E6137D" w:rsidRDefault="00E6137D" w14:paraId="5D7A23AA" w14:textId="77777777">
            <w:pPr>
              <w:rPr>
                <w:rFonts w:ascii="Arial" w:hAnsi="Arial" w:eastAsia="Times New Roman" w:cs="Arial"/>
                <w:sz w:val="20"/>
                <w:szCs w:val="20"/>
                <w:lang w:eastAsia="pt-BR"/>
              </w:rPr>
            </w:pPr>
            <w:r w:rsidRPr="00E6137D">
              <w:rPr>
                <w:rFonts w:ascii="Arial" w:hAnsi="Arial" w:eastAsia="Times New Roman" w:cs="Arial"/>
                <w:sz w:val="20"/>
                <w:szCs w:val="20"/>
                <w:lang w:eastAsia="pt-BR"/>
              </w:rPr>
              <w:t>Inconsistências</w:t>
            </w:r>
          </w:p>
        </w:tc>
        <w:tc>
          <w:tcPr>
            <w:tcW w:w="1998" w:type="dxa"/>
            <w:hideMark/>
          </w:tcPr>
          <w:p>
            <w:r/>
            <w:r>
              <w:rPr>
                <w:b w:val="0"/>
                <w:sz w:val="18"/>
              </w:rPr>
              <w:t>Três inconsistências graves, todas silenciosas: (1) a coluna UF do município do acidente está corrompida na origem e é irrecuperável; (2) rótulos de coluna que não correspondem ao conteúdo em parte dos arquivos; (3) o dicionário oficial declara formato de data que nenhum arquivo usa.</w:t>
            </w:r>
          </w:p>
        </w:tc>
        <w:tc>
          <w:tcPr>
            <w:tcW w:w="2126" w:type="dxa"/>
            <w:hideMark/>
          </w:tcPr>
          <w:p>
            <w:r/>
            <w:r>
              <w:rPr>
                <w:b w:val="0"/>
                <w:sz w:val="17"/>
              </w:rPr>
              <w:t>(1) Os rótulos de UF estão trocados de forma sistemática — São Paulo aparece como 'Maranhão' (1.339.950 registros), Minas Gerais como 'Rondônia', Paraná como 'Roraima' — com 94% a 99% de concentração no cruzamento com a UF derivada do código IBGE; e 12 UFs (AL, AM, BA, CE, ES, GO, MA, MS, MT, RN, RS, SC) não têm rótulo algum, caindo todas no sentinela, 32,9% da base. (2) No leiaute v24_sem_descricao a coluna 19 é rotulada 'Data Acidente' mas repete a competência; no v24_truncado a coluna 24 tem o mesmo rótulo e repete a data do acidente, onde os demais arquivos trazem a data de emissão. (3) O dicionário declara AAAAMMDD; os arquivos usam DD/MM/AAAA e AAAA/MM.</w:t>
            </w:r>
          </w:p>
        </w:tc>
      </w:tr>
      <w:tr w:rsidRPr="00E6137D" w:rsidR="00E6137D" w:rsidTr="00E6137D" w14:paraId="18E859C7" w14:textId="77777777">
        <w:trPr>
          <w:jc w:val="center"/>
        </w:trPr>
        <w:tc>
          <w:tcPr>
            <w:tcW w:w="0" w:type="auto"/>
            <w:hideMark/>
          </w:tcPr>
          <w:p w:rsidRPr="00E6137D" w:rsidR="00E6137D" w:rsidP="00E6137D" w:rsidRDefault="00E6137D" w14:paraId="18D3EEDC" w14:textId="77777777">
            <w:pPr>
              <w:rPr>
                <w:rFonts w:ascii="Arial" w:hAnsi="Arial" w:eastAsia="Times New Roman" w:cs="Arial"/>
                <w:sz w:val="20"/>
                <w:szCs w:val="20"/>
                <w:lang w:eastAsia="pt-BR"/>
              </w:rPr>
            </w:pPr>
            <w:r w:rsidRPr="00E6137D">
              <w:rPr>
                <w:rFonts w:ascii="Arial" w:hAnsi="Arial" w:eastAsia="Times New Roman" w:cs="Arial"/>
                <w:sz w:val="20"/>
                <w:szCs w:val="20"/>
                <w:lang w:eastAsia="pt-BR"/>
              </w:rPr>
              <w:t>Outliers</w:t>
            </w:r>
          </w:p>
        </w:tc>
        <w:tc>
          <w:tcPr>
            <w:tcW w:w="1998" w:type="dxa"/>
            <w:hideMark/>
          </w:tcPr>
          <w:p>
            <w:r/>
            <w:r>
              <w:rPr>
                <w:b w:val="0"/>
                <w:sz w:val="18"/>
              </w:rPr>
              <w:t>Os valores extremos relevantes estão na CONTAGEM ao longo do tempo, não nas variáveis individuais. A série mensal é dominada por artefato de publicação, e não por variação do fenômeno.</w:t>
            </w:r>
          </w:p>
        </w:tc>
        <w:tc>
          <w:tcPr>
            <w:tcW w:w="2126" w:type="dxa"/>
            <w:hideMark/>
          </w:tcPr>
          <w:p>
            <w:r/>
            <w:r>
              <w:rPr>
                <w:b w:val="0"/>
                <w:sz w:val="17"/>
              </w:rPr>
              <w:t>Mediana de 39.182 acidentes/mês. Julho de 2025 registra 127.642 (3,3× a mediana), enquanto novembro de 2025 registra 79 e dezembro de 2025 registra 12. Em 2022 a série oscila entre 8 mil e 51 mil de um mês para o outro. Nas variáveis individuais os extremos são raros: apenas 23 idades fora de 14–100 anos e 79 CATs com emissão anterior ao acidente. A defasagem entre acidente e emissão tem mediana de 3 dias e p99 de 95 dias.</w:t>
            </w:r>
          </w:p>
        </w:tc>
      </w:tr>
      <w:tr w:rsidRPr="00E6137D" w:rsidR="00E6137D" w:rsidTr="00E6137D" w14:paraId="4FFD2E4C" w14:textId="77777777">
        <w:trPr>
          <w:jc w:val="center"/>
        </w:trPr>
        <w:tc>
          <w:tcPr>
            <w:tcW w:w="0" w:type="auto"/>
            <w:hideMark/>
          </w:tcPr>
          <w:p w:rsidRPr="00E6137D" w:rsidR="00E6137D" w:rsidP="00E6137D" w:rsidRDefault="00E6137D" w14:paraId="24C8D6A6" w14:textId="77777777">
            <w:pPr>
              <w:rPr>
                <w:rFonts w:ascii="Arial" w:hAnsi="Arial" w:eastAsia="Times New Roman" w:cs="Arial"/>
                <w:sz w:val="20"/>
                <w:szCs w:val="20"/>
                <w:lang w:eastAsia="pt-BR"/>
              </w:rPr>
            </w:pPr>
            <w:r w:rsidRPr="00E6137D">
              <w:rPr>
                <w:rFonts w:ascii="Arial" w:hAnsi="Arial" w:eastAsia="Times New Roman" w:cs="Arial"/>
                <w:sz w:val="20"/>
                <w:szCs w:val="20"/>
                <w:lang w:eastAsia="pt-BR"/>
              </w:rPr>
              <w:t>Outros</w:t>
            </w:r>
          </w:p>
        </w:tc>
        <w:tc>
          <w:tcPr>
            <w:tcW w:w="1998" w:type="dxa"/>
            <w:hideMark/>
          </w:tcPr>
          <w:p>
            <w:r/>
            <w:r>
              <w:rPr>
                <w:b w:val="0"/>
                <w:sz w:val="18"/>
              </w:rPr>
              <w:t>Duas limitações adicionais que afetam diretamente a análise: o truncamento das descrições em 20 caracteres FRAGMENTA CATEGORIAS, e o acervo mistura cinco cabeçalhos diferentes com encodings distintos.</w:t>
            </w:r>
          </w:p>
        </w:tc>
        <w:tc>
          <w:tcPr>
            <w:tcW w:w="2126" w:type="dxa"/>
            <w:hideMark/>
          </w:tcPr>
          <w:p>
            <w:r/>
            <w:r>
              <w:rPr>
                <w:b w:val="0"/>
                <w:sz w:val="17"/>
              </w:rPr>
              <w:t>84,7% dos códigos CNAE aparecem sob mais de uma descrição — 'Transporte Rodoviario de Carga' e 'Transporte Rodoviari' são o mesmo setor contado duas vezes; o mesmo ocorre em 27,2% dos municípios. Agrupar pela descrição, e não pelo código, produz resultado errado. O acervo tem 5 cabeçalhos (4 leiautes com 24, 25 e 27 colunas) e 3 arquivos em UTF-8 contra 58 em latin-1 — como latin-1 decodifica qualquer byte sem erro, lê-los com o encoding errado não falha, apenas corrompe o texto.</w:t>
            </w:r>
          </w:p>
        </w:tc>
      </w:tr>
    </w:tbl>
    <w:p w:rsidRPr="00E6137D" w:rsidR="00E6137D" w:rsidP="00E6137D" w:rsidRDefault="00E6137D" w14:paraId="021C70C4" w14:textId="77777777">
      <w:pPr>
        <w:spacing w:after="0" w:line="360" w:lineRule="auto"/>
        <w:rPr>
          <w:rFonts w:ascii="Arial" w:hAnsi="Arial" w:cs="Arial"/>
          <w:sz w:val="24"/>
          <w:szCs w:val="24"/>
        </w:rPr>
      </w:pPr>
    </w:p>
    <w:p w:rsidRPr="00397A26" w:rsidR="00397A26" w:rsidP="00397A26" w:rsidRDefault="00397A26" w14:paraId="7781D0C9" w14:textId="12EB43AA">
      <w:pPr>
        <w:pStyle w:val="PargrafodaLista"/>
        <w:numPr>
          <w:ilvl w:val="0"/>
          <w:numId w:val="10"/>
        </w:numPr>
        <w:spacing w:after="0" w:line="360" w:lineRule="auto"/>
        <w:rPr>
          <w:rFonts w:ascii="Arial" w:hAnsi="Arial" w:cs="Arial"/>
          <w:b/>
          <w:bCs/>
          <w:sz w:val="24"/>
          <w:szCs w:val="24"/>
        </w:rPr>
      </w:pPr>
      <w:r w:rsidRPr="00397A26">
        <w:rPr>
          <w:rFonts w:ascii="Arial" w:hAnsi="Arial" w:cs="Arial"/>
          <w:b/>
          <w:bCs/>
          <w:sz w:val="24"/>
          <w:szCs w:val="24"/>
        </w:rPr>
        <w:t>EXPLORE — Investigar</w:t>
      </w:r>
    </w:p>
    <w:p w:rsidRPr="00397A26" w:rsidR="00070FBF" w:rsidP="00397A26" w:rsidRDefault="00397A26" w14:paraId="14FB8C3D" w14:textId="4A80167A">
      <w:pPr>
        <w:pStyle w:val="PargrafodaLista"/>
        <w:spacing w:after="0" w:line="360" w:lineRule="auto"/>
        <w:ind w:left="1068" w:firstLine="348"/>
        <w:jc w:val="both"/>
        <w:rPr>
          <w:rFonts w:ascii="Arial" w:hAnsi="Arial" w:cs="Arial"/>
          <w:sz w:val="24"/>
          <w:szCs w:val="24"/>
        </w:rPr>
      </w:pPr>
      <w:r w:rsidRPr="00397A26">
        <w:rPr>
          <w:rFonts w:ascii="Arial" w:hAnsi="Arial" w:cs="Arial"/>
          <w:sz w:val="24"/>
          <w:szCs w:val="24"/>
        </w:rPr>
        <w:t>Selecione as variáveis mais relevantes para o problema de investigação.</w:t>
      </w:r>
      <w:r w:rsidRPr="00397A26">
        <w:rPr>
          <w:rFonts w:ascii="Arial" w:hAnsi="Arial" w:cs="Arial"/>
          <w:sz w:val="24"/>
          <w:szCs w:val="24"/>
        </w:rPr>
        <w:t xml:space="preserve"> </w:t>
      </w:r>
      <w:r w:rsidRPr="00397A26">
        <w:rPr>
          <w:rFonts w:ascii="Arial" w:hAnsi="Arial" w:cs="Arial"/>
          <w:sz w:val="24"/>
          <w:szCs w:val="24"/>
        </w:rPr>
        <w:t xml:space="preserve">Realize análises </w:t>
      </w:r>
      <w:proofErr w:type="spellStart"/>
      <w:r w:rsidRPr="00397A26">
        <w:rPr>
          <w:rFonts w:ascii="Arial" w:hAnsi="Arial" w:cs="Arial"/>
          <w:sz w:val="24"/>
          <w:szCs w:val="24"/>
        </w:rPr>
        <w:t>univariadas</w:t>
      </w:r>
      <w:proofErr w:type="spellEnd"/>
      <w:r w:rsidRPr="00397A26">
        <w:rPr>
          <w:rFonts w:ascii="Arial" w:hAnsi="Arial" w:cs="Arial"/>
          <w:sz w:val="24"/>
          <w:szCs w:val="24"/>
        </w:rPr>
        <w:t xml:space="preserve"> e bivariadas, utilizando métodos gráficos e/ou não gráficos.</w:t>
      </w:r>
    </w:p>
    <w:p w:rsidRPr="001115F1" w:rsidR="00070FBF" w:rsidP="00070FBF" w:rsidRDefault="00070FBF" w14:paraId="36677EE4" w14:textId="77777777">
      <w:pPr>
        <w:pStyle w:val="PargrafodaLista"/>
        <w:spacing w:after="0" w:line="360" w:lineRule="auto"/>
        <w:ind w:left="1068"/>
        <w:rPr>
          <w:rFonts w:ascii="Arial" w:hAnsi="Arial" w:cs="Arial"/>
          <w:b/>
          <w:bCs/>
          <w:sz w:val="24"/>
          <w:szCs w:val="24"/>
        </w:rPr>
      </w:pPr>
    </w:p>
    <w:tbl>
      <w:tblPr>
        <w:tblStyle w:val="Tabelacomgrade"/>
        <w:tblW w:w="7596" w:type="dxa"/>
        <w:jc w:val="center"/>
        <w:tblLook w:val="04A0" w:firstRow="1" w:lastRow="0" w:firstColumn="1" w:lastColumn="0" w:noHBand="0" w:noVBand="1"/>
      </w:tblPr>
      <w:tblGrid>
        <w:gridCol w:w="2173"/>
        <w:gridCol w:w="1410"/>
        <w:gridCol w:w="1958"/>
        <w:gridCol w:w="2055"/>
      </w:tblGrid>
      <w:tr w:rsidRPr="000C5A60" w:rsidR="000C5A60" w:rsidTr="2C6CB3A0" w14:paraId="67AC3A4A" w14:textId="77777777">
        <w:trPr/>
        <w:tc>
          <w:tcPr>
            <w:tcW w:w="2173" w:type="dxa"/>
            <w:tcMar/>
            <w:hideMark/>
          </w:tcPr>
          <w:p w:rsidRPr="000C5A60" w:rsidR="000C5A60" w:rsidP="000C5A60" w:rsidRDefault="000C5A60" w14:paraId="2FA11DA3" w14:textId="77777777">
            <w:pPr>
              <w:jc w:val="center"/>
              <w:rPr>
                <w:rFonts w:ascii="Arial" w:hAnsi="Arial" w:eastAsia="Times New Roman" w:cs="Arial"/>
                <w:b/>
                <w:bCs/>
                <w:sz w:val="20"/>
                <w:szCs w:val="20"/>
                <w:lang w:eastAsia="pt-BR"/>
              </w:rPr>
            </w:pPr>
            <w:r w:rsidRPr="000C5A60">
              <w:rPr>
                <w:rFonts w:ascii="Arial" w:hAnsi="Arial" w:eastAsia="Times New Roman" w:cs="Arial"/>
                <w:b/>
                <w:bCs/>
                <w:sz w:val="20"/>
                <w:szCs w:val="20"/>
                <w:lang w:eastAsia="pt-BR"/>
              </w:rPr>
              <w:t>Questão investigada</w:t>
            </w:r>
          </w:p>
        </w:tc>
        <w:tc>
          <w:tcPr>
            <w:tcW w:w="1410" w:type="dxa"/>
            <w:tcMar/>
            <w:hideMark/>
          </w:tcPr>
          <w:p w:rsidRPr="000C5A60" w:rsidR="000C5A60" w:rsidP="000C5A60" w:rsidRDefault="000C5A60" w14:paraId="52FAC39D" w14:textId="77777777">
            <w:pPr>
              <w:jc w:val="center"/>
              <w:rPr>
                <w:rFonts w:ascii="Arial" w:hAnsi="Arial" w:eastAsia="Times New Roman" w:cs="Arial"/>
                <w:b/>
                <w:bCs/>
                <w:sz w:val="20"/>
                <w:szCs w:val="20"/>
                <w:lang w:eastAsia="pt-BR"/>
              </w:rPr>
            </w:pPr>
            <w:r w:rsidRPr="000C5A60">
              <w:rPr>
                <w:rFonts w:ascii="Arial" w:hAnsi="Arial" w:eastAsia="Times New Roman" w:cs="Arial"/>
                <w:b/>
                <w:bCs/>
                <w:sz w:val="20"/>
                <w:szCs w:val="20"/>
                <w:lang w:eastAsia="pt-BR"/>
              </w:rPr>
              <w:t>Variáveis</w:t>
            </w:r>
          </w:p>
        </w:tc>
        <w:tc>
          <w:tcPr>
            <w:tcW w:w="1958" w:type="dxa"/>
            <w:tcMar/>
            <w:hideMark/>
          </w:tcPr>
          <w:p w:rsidRPr="000C5A60" w:rsidR="000C5A60" w:rsidP="000C5A60" w:rsidRDefault="000C5A60" w14:paraId="792F5039" w14:textId="77777777">
            <w:pPr>
              <w:jc w:val="center"/>
              <w:rPr>
                <w:rFonts w:ascii="Arial" w:hAnsi="Arial" w:eastAsia="Times New Roman" w:cs="Arial"/>
                <w:b/>
                <w:bCs/>
                <w:sz w:val="20"/>
                <w:szCs w:val="20"/>
                <w:lang w:eastAsia="pt-BR"/>
              </w:rPr>
            </w:pPr>
            <w:r w:rsidRPr="000C5A60">
              <w:rPr>
                <w:rFonts w:ascii="Arial" w:hAnsi="Arial" w:eastAsia="Times New Roman" w:cs="Arial"/>
                <w:b/>
                <w:bCs/>
                <w:sz w:val="20"/>
                <w:szCs w:val="20"/>
                <w:lang w:eastAsia="pt-BR"/>
              </w:rPr>
              <w:t>Método / visualização</w:t>
            </w:r>
          </w:p>
        </w:tc>
        <w:tc>
          <w:tcPr>
            <w:tcW w:w="2055" w:type="dxa"/>
            <w:tcMar/>
            <w:hideMark/>
          </w:tcPr>
          <w:p w:rsidRPr="000C5A60" w:rsidR="000C5A60" w:rsidP="000C5A60" w:rsidRDefault="000C5A60" w14:paraId="27259405" w14:textId="77777777">
            <w:pPr>
              <w:jc w:val="center"/>
              <w:rPr>
                <w:rFonts w:ascii="Arial" w:hAnsi="Arial" w:eastAsia="Times New Roman" w:cs="Arial"/>
                <w:b/>
                <w:bCs/>
                <w:sz w:val="20"/>
                <w:szCs w:val="20"/>
                <w:lang w:eastAsia="pt-BR"/>
              </w:rPr>
            </w:pPr>
            <w:r w:rsidRPr="000C5A60">
              <w:rPr>
                <w:rFonts w:ascii="Arial" w:hAnsi="Arial" w:eastAsia="Times New Roman" w:cs="Arial"/>
                <w:b/>
                <w:bCs/>
                <w:sz w:val="20"/>
                <w:szCs w:val="20"/>
                <w:lang w:eastAsia="pt-BR"/>
              </w:rPr>
              <w:t>Resultado</w:t>
            </w:r>
          </w:p>
        </w:tc>
      </w:tr>
      <w:tr w:rsidRPr="000C5A60" w:rsidR="000C5A60" w:rsidTr="2C6CB3A0" w14:paraId="405AADB3" w14:textId="77777777">
        <w:trPr/>
        <w:tc>
          <w:tcPr>
            <w:tcW w:w="2173" w:type="dxa"/>
            <w:tcMar/>
            <w:hideMark/>
          </w:tcPr>
          <w:p>
            <w:r/>
            <w:r>
              <w:rPr>
                <w:b/>
                <w:sz w:val="18"/>
              </w:rPr>
              <w:t>Como o volume de acidentes evolui ao longo do tempo?</w:t>
            </w:r>
          </w:p>
        </w:tc>
        <w:tc>
          <w:tcPr>
            <w:tcW w:w="1410" w:type="dxa"/>
            <w:tcMar/>
            <w:hideMark/>
          </w:tcPr>
          <w:p>
            <w:r/>
            <w:r>
              <w:rPr>
                <w:b w:val="0"/>
                <w:sz w:val="18"/>
              </w:rPr>
              <w:t>data_acidente</w:t>
            </w:r>
          </w:p>
        </w:tc>
        <w:tc>
          <w:tcPr>
            <w:tcW w:w="1958" w:type="dxa"/>
            <w:tcMar/>
            <w:hideMark/>
          </w:tcPr>
          <w:p>
            <w:r/>
            <w:r>
              <w:rPr>
                <w:b w:val="0"/>
                <w:sz w:val="18"/>
              </w:rPr>
              <w:t>Série temporal mensal (Figura 1)</w:t>
            </w:r>
          </w:p>
        </w:tc>
        <w:tc>
          <w:tcPr>
            <w:tcW w:w="2055" w:type="dxa"/>
            <w:tcMar/>
            <w:hideMark/>
          </w:tcPr>
          <w:p>
            <w:r/>
            <w:r>
              <w:rPr>
                <w:b w:val="0"/>
                <w:sz w:val="18"/>
              </w:rPr>
              <w:t>A série NÃO é utilizável como está: oscila entre 8 mil e 128 mil por mês sem padrão epidemiológico. Mediana de 39.182/mês. Dois sinais se distinguem do ruído: a queda de abril de 2020 (20 mil contra ~30 mil nos meses vizinhos), compatível com o início da pandemia, e o pico de julho de 2025 (3,3× a mediana), sem explicação no fenômeno.</w:t>
            </w:r>
          </w:p>
        </w:tc>
      </w:tr>
      <w:tr w:rsidRPr="000C5A60" w:rsidR="000C5A60" w:rsidTr="2C6CB3A0" w14:paraId="4D78C204" w14:textId="77777777">
        <w:trPr/>
        <w:tc>
          <w:tcPr>
            <w:tcW w:w="2173" w:type="dxa"/>
            <w:tcMar/>
            <w:hideMark/>
          </w:tcPr>
          <w:p>
            <w:r/>
            <w:r>
              <w:rPr>
                <w:b/>
                <w:sz w:val="18"/>
              </w:rPr>
              <w:t>Onde estão localizados os empregadores?</w:t>
            </w:r>
          </w:p>
        </w:tc>
        <w:tc>
          <w:tcPr>
            <w:tcW w:w="1410" w:type="dxa"/>
            <w:tcMar/>
            <w:hideMark/>
          </w:tcPr>
          <w:p>
            <w:r/>
            <w:r>
              <w:rPr>
                <w:b w:val="0"/>
                <w:sz w:val="18"/>
              </w:rPr>
              <w:t>uf_empregador_sigla, codigo_municipio_empregador</w:t>
            </w:r>
          </w:p>
        </w:tc>
        <w:tc>
          <w:tcPr>
            <w:tcW w:w="1958" w:type="dxa"/>
            <w:tcMar/>
            <w:hideMark/>
          </w:tcPr>
          <w:p>
            <w:r/>
            <w:r>
              <w:rPr>
                <w:b w:val="0"/>
                <w:sz w:val="18"/>
              </w:rPr>
              <w:t>Barras horizontais (Figura 2)</w:t>
            </w:r>
          </w:p>
        </w:tc>
        <w:tc>
          <w:tcPr>
            <w:tcW w:w="2055" w:type="dxa"/>
            <w:tcMar/>
            <w:hideMark/>
          </w:tcPr>
          <w:p>
            <w:r/>
            <w:r>
              <w:rPr>
                <w:b w:val="0"/>
                <w:sz w:val="18"/>
              </w:rPr>
              <w:t>Concentração em São Paulo: 1.210.167 registros (34,9%), seguido de MG (9,8%), PR (7,9%), RS (7,8%) e SC (6,7%). 5.145 municípios distintos. 110.788 registros (3,2%) sem município válido. A distribuição acompanha o peso econômico das UFs, não uma taxa de risco.</w:t>
            </w:r>
          </w:p>
        </w:tc>
      </w:tr>
      <w:tr w:rsidRPr="000C5A60" w:rsidR="000C5A60" w:rsidTr="2C6CB3A0" w14:paraId="12BA5AD2" w14:textId="77777777">
        <w:trPr/>
        <w:tc>
          <w:tcPr>
            <w:tcW w:w="2173" w:type="dxa"/>
            <w:tcMar/>
            <w:hideMark/>
          </w:tcPr>
          <w:p>
            <w:r/>
            <w:r>
              <w:rPr>
                <w:b/>
                <w:sz w:val="18"/>
              </w:rPr>
              <w:t>Qual o perfil por sexo?</w:t>
            </w:r>
          </w:p>
        </w:tc>
        <w:tc>
          <w:tcPr>
            <w:tcW w:w="1410" w:type="dxa"/>
            <w:tcMar/>
            <w:hideMark/>
          </w:tcPr>
          <w:p>
            <w:r/>
            <w:r>
              <w:rPr>
                <w:b w:val="0"/>
                <w:sz w:val="18"/>
              </w:rPr>
              <w:t>sexo</w:t>
            </w:r>
          </w:p>
        </w:tc>
        <w:tc>
          <w:tcPr>
            <w:tcW w:w="1958" w:type="dxa"/>
            <w:tcMar/>
            <w:hideMark/>
          </w:tcPr>
          <w:p>
            <w:r/>
            <w:r>
              <w:rPr>
                <w:b w:val="0"/>
                <w:sz w:val="18"/>
              </w:rPr>
              <w:t>Distribuição de frequência</w:t>
            </w:r>
          </w:p>
        </w:tc>
        <w:tc>
          <w:tcPr>
            <w:tcW w:w="2055" w:type="dxa"/>
            <w:tcMar/>
            <w:hideMark/>
          </w:tcPr>
          <w:p>
            <w:r/>
            <w:r>
              <w:rPr>
                <w:b w:val="0"/>
                <w:sz w:val="18"/>
              </w:rPr>
              <w:t>64,7% masculino e 34,9% feminino; 0,34% não informado e 0,02% indeterminado — categorias distintas, que não devem ser fundidas.</w:t>
            </w:r>
          </w:p>
        </w:tc>
      </w:tr>
      <w:tr w:rsidRPr="000C5A60" w:rsidR="000C5A60" w:rsidTr="2C6CB3A0" w14:paraId="6ED94CAC" w14:textId="77777777">
        <w:trPr/>
        <w:tc>
          <w:tcPr>
            <w:tcW w:w="2173" w:type="dxa"/>
            <w:tcMar/>
            <w:hideMark/>
          </w:tcPr>
          <w:p>
            <w:r/>
            <w:r>
              <w:rPr>
                <w:b/>
                <w:sz w:val="18"/>
              </w:rPr>
              <w:t>Qual a distribuição etária, e ela difere entre homens e mulheres?</w:t>
            </w:r>
          </w:p>
        </w:tc>
        <w:tc>
          <w:tcPr>
            <w:tcW w:w="1410" w:type="dxa"/>
            <w:tcMar/>
            <w:hideMark/>
          </w:tcPr>
          <w:p>
            <w:r/>
            <w:r>
              <w:rPr>
                <w:b w:val="0"/>
                <w:sz w:val="18"/>
              </w:rPr>
              <w:t>idade_acidente (derivada), sexo</w:t>
            </w:r>
          </w:p>
        </w:tc>
        <w:tc>
          <w:tcPr>
            <w:tcW w:w="1958" w:type="dxa"/>
            <w:tcMar/>
            <w:hideMark/>
          </w:tcPr>
          <w:p>
            <w:r/>
            <w:r>
              <w:rPr>
                <w:b w:val="0"/>
                <w:sz w:val="18"/>
              </w:rPr>
              <w:t>Histograma sobreposto e medidas-resumo (Figura 3)</w:t>
            </w:r>
          </w:p>
        </w:tc>
        <w:tc>
          <w:tcPr>
            <w:tcW w:w="2055" w:type="dxa"/>
            <w:tcMar/>
            <w:hideMark/>
          </w:tcPr>
          <w:p>
            <w:r/>
            <w:r>
              <w:rPr>
                <w:b w:val="0"/>
                <w:sz w:val="18"/>
              </w:rPr>
              <w:t>Mediana de 35 anos (p25=26, p75=44, média 35,9). As distribuições diferem em FORMA, não apenas em posição: os homens concentram-se entre 22 e 28 anos (pico de 6,9%), enquanto as mulheres formam um platô mais alto e mais tardio, entre 30 e 45 anos. Mediana de 34 anos para homens e 36 para mulheres.</w:t>
            </w:r>
          </w:p>
        </w:tc>
      </w:tr>
      <w:tr w:rsidRPr="000C5A60" w:rsidR="000C5A60" w:rsidTr="2C6CB3A0" w14:paraId="31FF993A" w14:textId="77777777">
        <w:trPr/>
        <w:tc>
          <w:tcPr>
            <w:tcW w:w="2173" w:type="dxa"/>
            <w:tcMar/>
          </w:tcPr>
          <w:p>
            <w:r/>
            <w:r>
              <w:rPr>
                <w:b/>
                <w:sz w:val="18"/>
              </w:rPr>
              <w:t>Que tipo de acidente predomina?</w:t>
            </w:r>
          </w:p>
        </w:tc>
        <w:tc>
          <w:tcPr>
            <w:tcW w:w="1410" w:type="dxa"/>
            <w:tcMar/>
          </w:tcPr>
          <w:p>
            <w:r/>
            <w:r>
              <w:rPr>
                <w:b w:val="0"/>
                <w:sz w:val="18"/>
              </w:rPr>
              <w:t>tipo_acidente</w:t>
            </w:r>
          </w:p>
        </w:tc>
        <w:tc>
          <w:tcPr>
            <w:tcW w:w="1958" w:type="dxa"/>
            <w:tcMar/>
          </w:tcPr>
          <w:p>
            <w:r/>
            <w:r>
              <w:rPr>
                <w:b w:val="0"/>
                <w:sz w:val="18"/>
              </w:rPr>
              <w:t>Distribuição de frequência</w:t>
            </w:r>
          </w:p>
        </w:tc>
        <w:tc>
          <w:tcPr>
            <w:tcW w:w="2055" w:type="dxa"/>
            <w:tcMar/>
          </w:tcPr>
          <w:p>
            <w:r/>
            <w:r>
              <w:rPr>
                <w:b w:val="0"/>
                <w:sz w:val="18"/>
              </w:rPr>
              <w:t>Típico 73,7%, Trajeto 22,1%, Doença 3,1% e Ignorado 1,2%. O dicionário declara 4 categorias e as 4 aparecem.</w:t>
            </w:r>
          </w:p>
        </w:tc>
      </w:tr>
      <w:tr w:rsidRPr="000C5A60" w:rsidR="000C5A60" w:rsidTr="2C6CB3A0" w14:paraId="4F42B935" w14:textId="77777777">
        <w:trPr/>
        <w:tc>
          <w:tcPr>
            <w:tcW w:w="2173" w:type="dxa"/>
            <w:tcMar/>
          </w:tcPr>
          <w:p>
            <w:r/>
            <w:r>
              <w:rPr>
                <w:b/>
                <w:sz w:val="18"/>
              </w:rPr>
              <w:t>Qual tipo de acidente é mais letal?</w:t>
            </w:r>
          </w:p>
        </w:tc>
        <w:tc>
          <w:tcPr>
            <w:tcW w:w="1410" w:type="dxa"/>
            <w:tcMar/>
          </w:tcPr>
          <w:p>
            <w:r/>
            <w:r>
              <w:rPr>
                <w:b w:val="0"/>
                <w:sz w:val="18"/>
              </w:rPr>
              <w:t>tipo_acidente × indica_obito</w:t>
            </w:r>
          </w:p>
        </w:tc>
        <w:tc>
          <w:tcPr>
            <w:tcW w:w="1958" w:type="dxa"/>
            <w:tcMar/>
          </w:tcPr>
          <w:p>
            <w:r/>
            <w:r>
              <w:rPr>
                <w:b w:val="0"/>
                <w:sz w:val="18"/>
              </w:rPr>
              <w:t>Tabela cruzada e barras (Figura 4)</w:t>
            </w:r>
          </w:p>
        </w:tc>
        <w:tc>
          <w:tcPr>
            <w:tcW w:w="2055" w:type="dxa"/>
            <w:tcMar/>
          </w:tcPr>
          <w:p>
            <w:r/>
            <w:r>
              <w:rPr>
                <w:b w:val="0"/>
                <w:sz w:val="18"/>
              </w:rPr>
              <w:t>Inversão relevante: o acidente de TRAJETO é o menos frequente entre os dois principais, mas o mais letal — 0,877% de óbitos, contra 0,329% do típico (2,7 vezes maior). Em números absolutos, 6.743 óbitos em trajeto contra 8.421 em típicos, apesar de o típico ser 3,3 vezes mais frequente.</w:t>
            </w:r>
          </w:p>
        </w:tc>
      </w:tr>
      <w:tr w:rsidRPr="000C5A60" w:rsidR="000C5A60" w:rsidTr="2C6CB3A0" w14:paraId="78BAEA9F" w14:textId="77777777">
        <w:trPr/>
        <w:tc>
          <w:tcPr>
            <w:tcW w:w="2173" w:type="dxa"/>
            <w:tcMar/>
          </w:tcPr>
          <w:p>
            <w:r/>
            <w:r>
              <w:rPr>
                <w:b/>
                <w:sz w:val="18"/>
              </w:rPr>
              <w:t>A letalidade difere entre homens e mulheres?</w:t>
            </w:r>
          </w:p>
        </w:tc>
        <w:tc>
          <w:tcPr>
            <w:tcW w:w="1410" w:type="dxa"/>
            <w:tcMar/>
          </w:tcPr>
          <w:p>
            <w:r/>
            <w:r>
              <w:rPr>
                <w:b w:val="0"/>
                <w:sz w:val="18"/>
              </w:rPr>
              <w:t>sexo × indica_obito</w:t>
            </w:r>
          </w:p>
        </w:tc>
        <w:tc>
          <w:tcPr>
            <w:tcW w:w="1958" w:type="dxa"/>
            <w:tcMar/>
          </w:tcPr>
          <w:p>
            <w:r/>
            <w:r>
              <w:rPr>
                <w:b w:val="0"/>
                <w:sz w:val="18"/>
              </w:rPr>
              <w:t>Tabela cruzada</w:t>
            </w:r>
          </w:p>
        </w:tc>
        <w:tc>
          <w:tcPr>
            <w:tcW w:w="2055" w:type="dxa"/>
            <w:tcMar/>
          </w:tcPr>
          <w:p>
            <w:r/>
            <w:r>
              <w:rPr>
                <w:b w:val="0"/>
                <w:sz w:val="18"/>
              </w:rPr>
              <w:t>0,635% para homens contra 0,123% para mulheres — 5,2 vezes maior. A diferença é muito superior à diferença de exposição (homens são 1,9 vez mais frequentes na base), sugerindo composição ocupacional distinta e não apenas volume.</w:t>
            </w:r>
          </w:p>
        </w:tc>
      </w:tr>
      <w:tr w:rsidRPr="000C5A60" w:rsidR="000C5A60" w:rsidTr="2C6CB3A0" w14:paraId="74C1AACF" w14:textId="77777777">
        <w:trPr/>
        <w:tc>
          <w:tcPr>
            <w:tcW w:w="2173" w:type="dxa"/>
            <w:tcMar/>
          </w:tcPr>
          <w:p>
            <w:r/>
            <w:r>
              <w:rPr>
                <w:b/>
                <w:sz w:val="18"/>
              </w:rPr>
              <w:t>Que setores econômicos concentram maior letalidade?</w:t>
            </w:r>
          </w:p>
        </w:tc>
        <w:tc>
          <w:tcPr>
            <w:tcW w:w="1410" w:type="dxa"/>
            <w:tcMar/>
          </w:tcPr>
          <w:p>
            <w:r/>
            <w:r>
              <w:rPr>
                <w:b w:val="0"/>
                <w:sz w:val="18"/>
              </w:rPr>
              <w:t>cnae_codigo × indica_obito</w:t>
            </w:r>
          </w:p>
        </w:tc>
        <w:tc>
          <w:tcPr>
            <w:tcW w:w="1958" w:type="dxa"/>
            <w:tcMar/>
          </w:tcPr>
          <w:p>
            <w:r/>
            <w:r>
              <w:rPr>
                <w:b w:val="0"/>
                <w:sz w:val="18"/>
              </w:rPr>
              <w:t>Taxa de óbito por setor, com mínimo de 5 mil registros (Figura 5)</w:t>
            </w:r>
          </w:p>
        </w:tc>
        <w:tc>
          <w:tcPr>
            <w:tcW w:w="2055" w:type="dxa"/>
            <w:tcMar/>
          </w:tcPr>
          <w:p>
            <w:r/>
            <w:r>
              <w:rPr>
                <w:b w:val="0"/>
                <w:sz w:val="18"/>
              </w:rPr>
              <w:t>Letalidade geral de 0,456%. Transporte Rodoviário de Carga lidera com 1,96% — 4,3 vezes a média — seguido de Obras de Terraplenagem (1,61%), Comércio Atacadista de Hortifrutigranjeiros (1,41%) e Extração de Pedra, Areia e Argila (1,40%). O agrupamento foi feito pelo CÓDIGO, não pela descrição: 84,7% dos códigos têm mais de uma descrição por causa do truncamento.</w:t>
            </w:r>
          </w:p>
        </w:tc>
      </w:tr>
      <w:tr w:rsidRPr="000C5A60" w:rsidR="000C5A60" w:rsidTr="2C6CB3A0" w14:paraId="66F199BE" w14:textId="77777777">
        <w:trPr/>
        <w:tc>
          <w:tcPr>
            <w:tcW w:w="2173" w:type="dxa"/>
            <w:tcMar/>
          </w:tcPr>
          <w:p>
            <w:r/>
            <w:r>
              <w:rPr>
                <w:b/>
                <w:sz w:val="18"/>
              </w:rPr>
              <w:t>Que partes do corpo são mais atingidas?</w:t>
            </w:r>
          </w:p>
        </w:tc>
        <w:tc>
          <w:tcPr>
            <w:tcW w:w="1410" w:type="dxa"/>
            <w:tcMar/>
          </w:tcPr>
          <w:p>
            <w:r/>
            <w:r>
              <w:rPr>
                <w:b w:val="0"/>
                <w:sz w:val="18"/>
              </w:rPr>
              <w:t>parte_corpo_atingida</w:t>
            </w:r>
          </w:p>
        </w:tc>
        <w:tc>
          <w:tcPr>
            <w:tcW w:w="1958" w:type="dxa"/>
            <w:tcMar/>
          </w:tcPr>
          <w:p>
            <w:r/>
            <w:r>
              <w:rPr>
                <w:b w:val="0"/>
                <w:sz w:val="18"/>
              </w:rPr>
              <w:t>Barras horizontais (Figura 6)</w:t>
            </w:r>
          </w:p>
        </w:tc>
        <w:tc>
          <w:tcPr>
            <w:tcW w:w="2055" w:type="dxa"/>
            <w:tcMar/>
          </w:tcPr>
          <w:p>
            <w:r/>
            <w:r>
              <w:rPr>
                <w:b w:val="0"/>
                <w:sz w:val="18"/>
              </w:rPr>
              <w:t>Concentração nas extremidades: dedo 22,7%, pé 8,4%, mão 5,3% e joelho 5,2%. As quatro primeiras categorias respondem por 41,6% dos registros.</w:t>
            </w:r>
          </w:p>
        </w:tc>
      </w:tr>
    </w:tbl>
    <w:p w:rsidRPr="00A0140D" w:rsidR="00A0140D" w:rsidP="00A0140D" w:rsidRDefault="00A0140D" w14:paraId="1C961266" w14:textId="77777777">
      <w:pPr>
        <w:spacing w:after="0" w:line="360" w:lineRule="auto"/>
        <w:ind w:left="1416"/>
        <w:jc w:val="both"/>
        <w:rPr>
          <w:rFonts w:ascii="Arial" w:hAnsi="Arial" w:eastAsia="Times New Roman" w:cs="Arial"/>
          <w:sz w:val="24"/>
          <w:szCs w:val="24"/>
          <w:lang w:eastAsia="pt-BR"/>
        </w:rPr>
      </w:pPr>
      <w:r w:rsidRPr="00A0140D">
        <w:rPr>
          <w:rFonts w:ascii="Arial" w:hAnsi="Arial" w:eastAsia="Times New Roman" w:cs="Arial"/>
          <w:sz w:val="24"/>
          <w:szCs w:val="24"/>
          <w:lang w:eastAsia="pt-BR"/>
        </w:rPr>
        <w:lastRenderedPageBreak/>
        <w:t>Para cada análise, registre brevemente:</w:t>
      </w:r>
    </w:p>
    <w:p w:rsidRPr="00A0140D" w:rsidR="00A0140D" w:rsidP="00A0140D" w:rsidRDefault="00A0140D" w14:paraId="1C961266" w14:textId="77777777">
      <w:pPr>
        <w:spacing w:after="0" w:line="360" w:lineRule="auto"/>
        <w:ind w:left="0" w:firstLine="0"/>
        <w:jc w:val="both"/>
        <w:rPr>
          <w:rFonts w:ascii="Arial" w:hAnsi="Arial" w:eastAsia="Times New Roman" w:cs="Arial"/>
          <w:sz w:val="24"/>
          <w:szCs w:val="24"/>
          <w:lang w:eastAsia="pt-BR"/>
        </w:rPr>
      </w:pPr>
      <w:r>
        <w:rPr>
          <w:b/>
          <w:sz w:val="20"/>
        </w:rPr>
        <w:t>Figuras da etapa EXPLORE</w:t>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drawing>
          <wp:inline xmlns:a="http://schemas.openxmlformats.org/drawingml/2006/main" xmlns:pic="http://schemas.openxmlformats.org/drawingml/2006/picture">
            <wp:extent cx="5580000" cy="2794681"/>
            <wp:docPr id="1" name="Picture 1"/>
            <wp:cNvGraphicFramePr>
              <a:graphicFrameLocks noChangeAspect="1"/>
            </wp:cNvGraphicFramePr>
            <a:graphic>
              <a:graphicData uri="http://schemas.openxmlformats.org/drawingml/2006/picture">
                <pic:pic>
                  <pic:nvPicPr>
                    <pic:cNvPr id="0" name="serie-mensal.png"/>
                    <pic:cNvPicPr/>
                  </pic:nvPicPr>
                  <pic:blipFill>
                    <a:blip r:embed="rId11"/>
                    <a:stretch>
                      <a:fillRect/>
                    </a:stretch>
                  </pic:blipFill>
                  <pic:spPr>
                    <a:xfrm>
                      <a:off x="0" y="0"/>
                      <a:ext cx="5580000" cy="2794681"/>
                    </a:xfrm>
                    <a:prstGeom prst="rect"/>
                  </pic:spPr>
                </pic:pic>
              </a:graphicData>
            </a:graphic>
          </wp:inline>
        </w:drawing>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rPr>
          <w:i/>
          <w:color w:val="52514E"/>
          <w:sz w:val="17"/>
        </w:rPr>
        <w:t>Figura 1 — Acidentes por mês de ocorrência. A irregularidade da série é artefato da cobertura por mês de emissão, não variação do fenômeno.</w:t>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drawing>
          <wp:inline xmlns:a="http://schemas.openxmlformats.org/drawingml/2006/main" xmlns:pic="http://schemas.openxmlformats.org/drawingml/2006/picture">
            <wp:extent cx="5580000" cy="4502381"/>
            <wp:docPr id="2" name="Picture 2"/>
            <wp:cNvGraphicFramePr>
              <a:graphicFrameLocks noChangeAspect="1"/>
            </wp:cNvGraphicFramePr>
            <a:graphic>
              <a:graphicData uri="http://schemas.openxmlformats.org/drawingml/2006/picture">
                <pic:pic>
                  <pic:nvPicPr>
                    <pic:cNvPr id="0" name="registros-por-uf.png"/>
                    <pic:cNvPicPr/>
                  </pic:nvPicPr>
                  <pic:blipFill>
                    <a:blip r:embed="rId12"/>
                    <a:stretch>
                      <a:fillRect/>
                    </a:stretch>
                  </pic:blipFill>
                  <pic:spPr>
                    <a:xfrm>
                      <a:off x="0" y="0"/>
                      <a:ext cx="5580000" cy="4502381"/>
                    </a:xfrm>
                    <a:prstGeom prst="rect"/>
                  </pic:spPr>
                </pic:pic>
              </a:graphicData>
            </a:graphic>
          </wp:inline>
        </w:drawing>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rPr>
          <w:i/>
          <w:color w:val="52514E"/>
          <w:sz w:val="17"/>
        </w:rPr>
        <w:t>Figura 2 — Registros por UF do empregador, derivada do código IBGE do município.</w:t>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drawing>
          <wp:inline xmlns:a="http://schemas.openxmlformats.org/drawingml/2006/main" xmlns:pic="http://schemas.openxmlformats.org/drawingml/2006/picture">
            <wp:extent cx="5580000" cy="3317437"/>
            <wp:docPr id="3" name="Picture 3"/>
            <wp:cNvGraphicFramePr>
              <a:graphicFrameLocks noChangeAspect="1"/>
            </wp:cNvGraphicFramePr>
            <a:graphic>
              <a:graphicData uri="http://schemas.openxmlformats.org/drawingml/2006/picture">
                <pic:pic>
                  <pic:nvPicPr>
                    <pic:cNvPr id="0" name="idade-por-sexo.png"/>
                    <pic:cNvPicPr/>
                  </pic:nvPicPr>
                  <pic:blipFill>
                    <a:blip r:embed="rId13"/>
                    <a:stretch>
                      <a:fillRect/>
                    </a:stretch>
                  </pic:blipFill>
                  <pic:spPr>
                    <a:xfrm>
                      <a:off x="0" y="0"/>
                      <a:ext cx="5580000" cy="3317437"/>
                    </a:xfrm>
                    <a:prstGeom prst="rect"/>
                  </pic:spPr>
                </pic:pic>
              </a:graphicData>
            </a:graphic>
          </wp:inline>
        </w:drawing>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rPr>
          <w:i/>
          <w:color w:val="52514E"/>
          <w:sz w:val="17"/>
        </w:rPr>
        <w:t>Figura 3 — Distribuição etária por sexo. As curvas diferem em forma: homens concentram-se entre 22 e 28 anos; mulheres formam platô mais tardio.</w:t>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drawing>
          <wp:inline xmlns:a="http://schemas.openxmlformats.org/drawingml/2006/main" xmlns:pic="http://schemas.openxmlformats.org/drawingml/2006/picture">
            <wp:extent cx="5580000" cy="2130284"/>
            <wp:docPr id="4" name="Picture 4"/>
            <wp:cNvGraphicFramePr>
              <a:graphicFrameLocks noChangeAspect="1"/>
            </wp:cNvGraphicFramePr>
            <a:graphic>
              <a:graphicData uri="http://schemas.openxmlformats.org/drawingml/2006/picture">
                <pic:pic>
                  <pic:nvPicPr>
                    <pic:cNvPr id="0" name="letalidade-por-tipo.png"/>
                    <pic:cNvPicPr/>
                  </pic:nvPicPr>
                  <pic:blipFill>
                    <a:blip r:embed="rId14"/>
                    <a:stretch>
                      <a:fillRect/>
                    </a:stretch>
                  </pic:blipFill>
                  <pic:spPr>
                    <a:xfrm>
                      <a:off x="0" y="0"/>
                      <a:ext cx="5580000" cy="2130284"/>
                    </a:xfrm>
                    <a:prstGeom prst="rect"/>
                  </pic:spPr>
                </pic:pic>
              </a:graphicData>
            </a:graphic>
          </wp:inline>
        </w:drawing>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rPr>
          <w:i/>
          <w:color w:val="52514E"/>
          <w:sz w:val="17"/>
        </w:rPr>
        <w:t>Figura 4 — Letalidade por tipo de acidente. O trajeto é o mais letal, apesar de menos frequente que o típico.</w:t>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drawing>
          <wp:inline xmlns:a="http://schemas.openxmlformats.org/drawingml/2006/main" xmlns:pic="http://schemas.openxmlformats.org/drawingml/2006/picture">
            <wp:extent cx="5580000" cy="2322584"/>
            <wp:docPr id="5" name="Picture 5"/>
            <wp:cNvGraphicFramePr>
              <a:graphicFrameLocks noChangeAspect="1"/>
            </wp:cNvGraphicFramePr>
            <a:graphic>
              <a:graphicData uri="http://schemas.openxmlformats.org/drawingml/2006/picture">
                <pic:pic>
                  <pic:nvPicPr>
                    <pic:cNvPr id="0" name="letalidade-por-setor.png"/>
                    <pic:cNvPicPr/>
                  </pic:nvPicPr>
                  <pic:blipFill>
                    <a:blip r:embed="rId15"/>
                    <a:stretch>
                      <a:fillRect/>
                    </a:stretch>
                  </pic:blipFill>
                  <pic:spPr>
                    <a:xfrm>
                      <a:off x="0" y="0"/>
                      <a:ext cx="5580000" cy="2322584"/>
                    </a:xfrm>
                    <a:prstGeom prst="rect"/>
                  </pic:spPr>
                </pic:pic>
              </a:graphicData>
            </a:graphic>
          </wp:inline>
        </w:drawing>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rPr>
          <w:i/>
          <w:color w:val="52514E"/>
          <w:sz w:val="17"/>
        </w:rPr>
        <w:t>Figura 5 — Setores com maior letalidade, agrupados pelo código da CNAE.</w:t>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drawing>
          <wp:inline xmlns:a="http://schemas.openxmlformats.org/drawingml/2006/main" xmlns:pic="http://schemas.openxmlformats.org/drawingml/2006/picture">
            <wp:extent cx="5580000" cy="3077143"/>
            <wp:docPr id="6" name="Picture 6"/>
            <wp:cNvGraphicFramePr>
              <a:graphicFrameLocks noChangeAspect="1"/>
            </wp:cNvGraphicFramePr>
            <a:graphic>
              <a:graphicData uri="http://schemas.openxmlformats.org/drawingml/2006/picture">
                <pic:pic>
                  <pic:nvPicPr>
                    <pic:cNvPr id="0" name="parte-do-corpo.png"/>
                    <pic:cNvPicPr/>
                  </pic:nvPicPr>
                  <pic:blipFill>
                    <a:blip r:embed="rId16"/>
                    <a:stretch>
                      <a:fillRect/>
                    </a:stretch>
                  </pic:blipFill>
                  <pic:spPr>
                    <a:xfrm>
                      <a:off x="0" y="0"/>
                      <a:ext cx="5580000" cy="3077143"/>
                    </a:xfrm>
                    <a:prstGeom prst="rect"/>
                  </pic:spPr>
                </pic:pic>
              </a:graphicData>
            </a:graphic>
          </wp:inline>
        </w:drawing>
      </w:r>
    </w:p>
    <w:p w:rsidRPr="00A0140D" w:rsidR="00A0140D" w:rsidP="00A0140D" w:rsidRDefault="00A0140D" w14:paraId="1C961266" w14:textId="77777777">
      <w:pPr>
        <w:spacing w:after="0" w:line="360" w:lineRule="auto"/>
        <w:ind w:left="0" w:firstLine="0"/>
        <w:jc w:val="center"/>
        <w:rPr>
          <w:rFonts w:ascii="Arial" w:hAnsi="Arial" w:eastAsia="Times New Roman" w:cs="Arial"/>
          <w:sz w:val="24"/>
          <w:szCs w:val="24"/>
          <w:lang w:eastAsia="pt-BR"/>
        </w:rPr>
      </w:pPr>
      <w:r>
        <w:rPr>
          <w:i/>
          <w:color w:val="52514E"/>
          <w:sz w:val="17"/>
        </w:rPr>
        <w:t>Figura 6 — Partes do corpo mais atingidas.</w:t>
      </w:r>
    </w:p>
    <w:p w:rsidRPr="00A0140D" w:rsidR="00A0140D" w:rsidP="00A0140D" w:rsidRDefault="00A0140D" w14:paraId="444C93F1" w14:textId="77777777">
      <w:pPr>
        <w:pStyle w:val="PargrafodaLista"/>
        <w:numPr>
          <w:ilvl w:val="0"/>
          <w:numId w:val="11"/>
        </w:numPr>
        <w:spacing w:after="0" w:line="360" w:lineRule="auto"/>
        <w:jc w:val="both"/>
        <w:rPr>
          <w:rFonts w:ascii="Arial" w:hAnsi="Arial" w:eastAsia="Times New Roman" w:cs="Arial"/>
          <w:sz w:val="24"/>
          <w:szCs w:val="24"/>
          <w:lang w:eastAsia="pt-BR"/>
        </w:rPr>
      </w:pPr>
      <w:r w:rsidRPr="00A0140D">
        <w:rPr>
          <w:rFonts w:ascii="Arial" w:hAnsi="Arial" w:eastAsia="Times New Roman" w:cs="Arial"/>
          <w:sz w:val="24"/>
          <w:szCs w:val="24"/>
          <w:lang w:eastAsia="pt-BR"/>
        </w:rPr>
        <w:t>Por que essa análise foi realizada?</w:t>
      </w:r>
    </w:p>
    <w:p w:rsidRPr="00A0140D" w:rsidR="00A0140D" w:rsidP="00A0140D" w:rsidRDefault="00A0140D" w14:paraId="17F0A016" w14:textId="77777777">
      <w:pPr>
        <w:pStyle w:val="PargrafodaLista"/>
        <w:numPr>
          <w:ilvl w:val="0"/>
          <w:numId w:val="11"/>
        </w:numPr>
        <w:spacing w:after="0" w:line="360" w:lineRule="auto"/>
        <w:jc w:val="both"/>
        <w:rPr>
          <w:rFonts w:ascii="Arial" w:hAnsi="Arial" w:eastAsia="Times New Roman" w:cs="Arial"/>
          <w:sz w:val="24"/>
          <w:szCs w:val="24"/>
          <w:lang w:eastAsia="pt-BR"/>
        </w:rPr>
      </w:pPr>
      <w:r w:rsidRPr="00A0140D">
        <w:rPr>
          <w:rFonts w:ascii="Arial" w:hAnsi="Arial" w:eastAsia="Times New Roman" w:cs="Arial"/>
          <w:sz w:val="24"/>
          <w:szCs w:val="24"/>
          <w:lang w:eastAsia="pt-BR"/>
        </w:rPr>
        <w:t>O que foi observado?</w:t>
      </w:r>
    </w:p>
    <w:p w:rsidR="001115F1" w:rsidP="00A53B3C" w:rsidRDefault="001115F1" w14:paraId="6CCA0164" w14:textId="0B5F7E33">
      <w:pPr>
        <w:spacing w:after="0" w:line="360" w:lineRule="auto"/>
        <w:rPr>
          <w:rFonts w:ascii="Arial" w:hAnsi="Arial" w:cs="Arial"/>
          <w:sz w:val="24"/>
          <w:szCs w:val="24"/>
        </w:rPr>
      </w:pPr>
    </w:p>
    <w:p w:rsidRPr="00460126" w:rsidR="00460126" w:rsidP="00460126" w:rsidRDefault="00460126" w14:paraId="59805C1A" w14:textId="3EE004CB">
      <w:pPr>
        <w:pStyle w:val="PargrafodaLista"/>
        <w:numPr>
          <w:ilvl w:val="0"/>
          <w:numId w:val="10"/>
        </w:numPr>
        <w:spacing w:after="0" w:line="360" w:lineRule="auto"/>
        <w:rPr>
          <w:rFonts w:ascii="Arial" w:hAnsi="Arial" w:cs="Arial"/>
          <w:b/>
          <w:bCs/>
          <w:sz w:val="24"/>
          <w:szCs w:val="24"/>
        </w:rPr>
      </w:pPr>
      <w:r w:rsidRPr="00460126">
        <w:rPr>
          <w:rFonts w:ascii="Arial" w:hAnsi="Arial" w:cs="Arial"/>
          <w:b/>
          <w:bCs/>
          <w:sz w:val="24"/>
          <w:szCs w:val="24"/>
        </w:rPr>
        <w:t xml:space="preserve"> REFINE — Aprofundar</w:t>
      </w:r>
    </w:p>
    <w:p w:rsidRPr="00460126" w:rsidR="00460126" w:rsidP="00460126" w:rsidRDefault="00460126" w14:paraId="2C5A3D92" w14:textId="77777777">
      <w:pPr>
        <w:spacing w:after="0" w:line="360" w:lineRule="auto"/>
        <w:jc w:val="both"/>
        <w:rPr>
          <w:rFonts w:ascii="Arial" w:hAnsi="Arial" w:cs="Arial"/>
          <w:sz w:val="24"/>
          <w:szCs w:val="24"/>
        </w:rPr>
      </w:pPr>
    </w:p>
    <w:p w:rsidR="00A0140D" w:rsidP="00460126" w:rsidRDefault="00460126" w14:paraId="697932C2" w14:textId="39C7EB36">
      <w:pPr>
        <w:spacing w:after="0" w:line="360" w:lineRule="auto"/>
        <w:ind w:firstLine="708"/>
        <w:jc w:val="both"/>
        <w:rPr>
          <w:rFonts w:ascii="Arial" w:hAnsi="Arial" w:cs="Arial"/>
          <w:sz w:val="24"/>
          <w:szCs w:val="24"/>
        </w:rPr>
      </w:pPr>
      <w:r w:rsidRPr="00460126">
        <w:rPr>
          <w:rFonts w:ascii="Arial" w:hAnsi="Arial" w:cs="Arial"/>
          <w:sz w:val="24"/>
          <w:szCs w:val="24"/>
        </w:rPr>
        <w:t>A partir dos resultados da exploração, selecione pelo menos dois achados que mereçam investigação adicional.</w:t>
      </w:r>
    </w:p>
    <w:p w:rsidR="00B92F1D" w:rsidP="00460126" w:rsidRDefault="00B92F1D" w14:paraId="45975BC5" w14:textId="5AA876A5">
      <w:pPr>
        <w:spacing w:after="0" w:line="360" w:lineRule="auto"/>
        <w:ind w:firstLine="708"/>
        <w:jc w:val="both"/>
        <w:rPr>
          <w:rFonts w:ascii="Arial" w:hAnsi="Arial" w:cs="Arial"/>
          <w:sz w:val="24"/>
          <w:szCs w:val="24"/>
        </w:rPr>
      </w:pPr>
    </w:p>
    <w:tbl>
      <w:tblPr>
        <w:tblStyle w:val="Tabelacomgrade"/>
        <w:tblW w:w="0" w:type="auto"/>
        <w:jc w:val="center"/>
        <w:tblLook w:val="04A0" w:firstRow="1" w:lastRow="0" w:firstColumn="1" w:lastColumn="0" w:noHBand="0" w:noVBand="1"/>
      </w:tblPr>
      <w:tblGrid>
        <w:gridCol w:w="1572"/>
        <w:gridCol w:w="1617"/>
        <w:gridCol w:w="1373"/>
        <w:gridCol w:w="1183"/>
      </w:tblGrid>
      <w:tr w:rsidRPr="00B92F1D" w:rsidR="00B92F1D" w:rsidTr="00B92F1D" w14:paraId="459CE1DF" w14:textId="77777777">
        <w:trPr>
          <w:jc w:val="center"/>
        </w:trPr>
        <w:tc>
          <w:tcPr>
            <w:tcW w:w="0" w:type="auto"/>
            <w:hideMark/>
          </w:tcPr>
          <w:p w:rsidRPr="00B92F1D" w:rsidR="00B92F1D" w:rsidP="00B92F1D" w:rsidRDefault="00B92F1D" w14:paraId="334E2E10" w14:textId="77777777">
            <w:pPr>
              <w:jc w:val="center"/>
              <w:rPr>
                <w:rFonts w:ascii="Arial" w:hAnsi="Arial" w:eastAsia="Times New Roman" w:cs="Arial"/>
                <w:b/>
                <w:bCs/>
                <w:sz w:val="20"/>
                <w:szCs w:val="20"/>
                <w:lang w:eastAsia="pt-BR"/>
              </w:rPr>
            </w:pPr>
            <w:r w:rsidRPr="00B92F1D">
              <w:rPr>
                <w:rFonts w:ascii="Arial" w:hAnsi="Arial" w:eastAsia="Times New Roman" w:cs="Arial"/>
                <w:b/>
                <w:bCs/>
                <w:sz w:val="20"/>
                <w:szCs w:val="20"/>
                <w:lang w:eastAsia="pt-BR"/>
              </w:rPr>
              <w:t>Achado inicial</w:t>
            </w:r>
          </w:p>
        </w:tc>
        <w:tc>
          <w:tcPr>
            <w:tcW w:w="0" w:type="auto"/>
            <w:hideMark/>
          </w:tcPr>
          <w:p w:rsidRPr="00B92F1D" w:rsidR="00B92F1D" w:rsidP="00B92F1D" w:rsidRDefault="00B92F1D" w14:paraId="5949F07B" w14:textId="77777777">
            <w:pPr>
              <w:jc w:val="center"/>
              <w:rPr>
                <w:rFonts w:ascii="Arial" w:hAnsi="Arial" w:eastAsia="Times New Roman" w:cs="Arial"/>
                <w:b/>
                <w:bCs/>
                <w:sz w:val="20"/>
                <w:szCs w:val="20"/>
                <w:lang w:eastAsia="pt-BR"/>
              </w:rPr>
            </w:pPr>
            <w:r w:rsidRPr="00B92F1D">
              <w:rPr>
                <w:rFonts w:ascii="Arial" w:hAnsi="Arial" w:eastAsia="Times New Roman" w:cs="Arial"/>
                <w:b/>
                <w:bCs/>
                <w:sz w:val="20"/>
                <w:szCs w:val="20"/>
                <w:lang w:eastAsia="pt-BR"/>
              </w:rPr>
              <w:t>Ação realizada</w:t>
            </w:r>
          </w:p>
        </w:tc>
        <w:tc>
          <w:tcPr>
            <w:tcW w:w="0" w:type="auto"/>
            <w:hideMark/>
          </w:tcPr>
          <w:p w:rsidRPr="00B92F1D" w:rsidR="00B92F1D" w:rsidP="00B92F1D" w:rsidRDefault="00B92F1D" w14:paraId="049B8244" w14:textId="77777777">
            <w:pPr>
              <w:jc w:val="center"/>
              <w:rPr>
                <w:rFonts w:ascii="Arial" w:hAnsi="Arial" w:eastAsia="Times New Roman" w:cs="Arial"/>
                <w:b/>
                <w:bCs/>
                <w:sz w:val="20"/>
                <w:szCs w:val="20"/>
                <w:lang w:eastAsia="pt-BR"/>
              </w:rPr>
            </w:pPr>
            <w:r w:rsidRPr="00B92F1D">
              <w:rPr>
                <w:rFonts w:ascii="Arial" w:hAnsi="Arial" w:eastAsia="Times New Roman" w:cs="Arial"/>
                <w:b/>
                <w:bCs/>
                <w:sz w:val="20"/>
                <w:szCs w:val="20"/>
                <w:lang w:eastAsia="pt-BR"/>
              </w:rPr>
              <w:t>Justificativa</w:t>
            </w:r>
          </w:p>
        </w:tc>
        <w:tc>
          <w:tcPr>
            <w:tcW w:w="0" w:type="auto"/>
            <w:hideMark/>
          </w:tcPr>
          <w:p w:rsidRPr="00B92F1D" w:rsidR="00B92F1D" w:rsidP="00B92F1D" w:rsidRDefault="00B92F1D" w14:paraId="5CE12D8A" w14:textId="77777777">
            <w:pPr>
              <w:jc w:val="center"/>
              <w:rPr>
                <w:rFonts w:ascii="Arial" w:hAnsi="Arial" w:eastAsia="Times New Roman" w:cs="Arial"/>
                <w:b/>
                <w:bCs/>
                <w:sz w:val="20"/>
                <w:szCs w:val="20"/>
                <w:lang w:eastAsia="pt-BR"/>
              </w:rPr>
            </w:pPr>
            <w:r w:rsidRPr="00B92F1D">
              <w:rPr>
                <w:rFonts w:ascii="Arial" w:hAnsi="Arial" w:eastAsia="Times New Roman" w:cs="Arial"/>
                <w:b/>
                <w:bCs/>
                <w:sz w:val="20"/>
                <w:szCs w:val="20"/>
                <w:lang w:eastAsia="pt-BR"/>
              </w:rPr>
              <w:t>Resultado</w:t>
            </w:r>
          </w:p>
        </w:tc>
      </w:tr>
      <w:tr w:rsidRPr="00B92F1D" w:rsidR="00B92F1D" w:rsidTr="00B92F1D" w14:paraId="5B994BD8" w14:textId="77777777">
        <w:trPr>
          <w:jc w:val="center"/>
        </w:trPr>
        <w:tc>
          <w:tcPr>
            <w:tcW w:w="0" w:type="auto"/>
          </w:tcPr>
          <w:p>
            <w:r/>
            <w:r>
              <w:rPr>
                <w:b/>
                <w:sz w:val="18"/>
              </w:rPr>
              <w:t>A UF do município do acidente tinha distribuição implausível: apenas 17 valores distintos, com Maranhão em primeiro lugar e São Paulo ausente.</w:t>
            </w:r>
          </w:p>
        </w:tc>
        <w:tc>
          <w:tcPr>
            <w:tcW w:w="0" w:type="auto"/>
          </w:tcPr>
          <w:p>
            <w:r/>
            <w:r>
              <w:rPr>
                <w:b w:val="0"/>
                <w:sz w:val="18"/>
              </w:rPr>
              <w:t>Cruzamento sistemático da coluna com a UF derivada do código IBGE do município do empregador, em todos os 3,9 milhões de registros.</w:t>
            </w:r>
          </w:p>
        </w:tc>
        <w:tc>
          <w:tcPr>
            <w:tcW w:w="0" w:type="auto"/>
          </w:tcPr>
          <w:p>
            <w:r/>
            <w:r>
              <w:rPr>
                <w:b w:val="0"/>
                <w:sz w:val="18"/>
              </w:rPr>
              <w:t>A distribuição contrariava o conhecido: São Paulo concentra a atividade econômica e não podia estar ausente. Era necessário decidir entre recodificar a coluna ou descartá-la.</w:t>
            </w:r>
          </w:p>
        </w:tc>
        <w:tc>
          <w:tcPr>
            <w:tcW w:w="0" w:type="auto"/>
          </w:tcPr>
          <w:p>
            <w:r/>
            <w:r>
              <w:rPr>
                <w:b w:val="0"/>
                <w:sz w:val="18"/>
              </w:rPr>
              <w:t>A coluna é IRRECUPERÁVEL. Cada rótulo mapeia para uma única UF real com 94% a 99% de concentração (São Paulo gravado como 'Maranhão', Minas como 'Rondônia'), mas 12 UFs não têm rótulo algum e colapsam no sentinela — 32,9% da base. Decisão: usar a UF derivada do código IBGE, registrando que ela localiza o EMPREGADOR, não o acidente.</w:t>
            </w:r>
          </w:p>
        </w:tc>
      </w:tr>
      <w:tr w:rsidRPr="00B92F1D" w:rsidR="00B92F1D" w:rsidTr="00B92F1D" w14:paraId="1E2A28F1" w14:textId="77777777">
        <w:trPr>
          <w:jc w:val="center"/>
        </w:trPr>
        <w:tc>
          <w:tcPr>
            <w:tcW w:w="0" w:type="auto"/>
          </w:tcPr>
          <w:p>
            <w:r/>
            <w:r>
              <w:rPr>
                <w:b/>
                <w:sz w:val="18"/>
              </w:rPr>
              <w:t>O relatório automatizado acusou 11,7% de linhas duplicadas, contra 0,1% na amostra de 6 arquivos inspecionada inicialmente.</w:t>
            </w:r>
          </w:p>
        </w:tc>
        <w:tc>
          <w:tcPr>
            <w:tcW w:w="0" w:type="auto"/>
          </w:tcPr>
          <w:p>
            <w:r/>
            <w:r>
              <w:rPr>
                <w:b w:val="0"/>
                <w:sz w:val="18"/>
              </w:rPr>
              <w:t>Levantamento, arquivo a arquivo, do intervalo de meses de emissão coberto e da proporção de linhas já vistas em arquivos anteriores.</w:t>
            </w:r>
          </w:p>
        </w:tc>
        <w:tc>
          <w:tcPr>
            <w:tcW w:w="0" w:type="auto"/>
          </w:tcPr>
          <w:p>
            <w:r/>
            <w:r>
              <w:rPr>
                <w:b w:val="0"/>
                <w:sz w:val="18"/>
              </w:rPr>
              <w:t>Uma diferença de duas ordens de grandeza entre amostra e base completa indicava causa estrutural, não ruído. Descartar as duplicatas sem entendê-las poderia eliminar registros legítimos.</w:t>
            </w:r>
          </w:p>
        </w:tc>
        <w:tc>
          <w:tcPr>
            <w:tcW w:w="0" w:type="auto"/>
          </w:tcPr>
          <w:p>
            <w:r/>
            <w:r>
              <w:rPr>
                <w:b w:val="0"/>
                <w:sz w:val="18"/>
              </w:rPr>
              <w:t>Os arquivos são janelas SOBREPOSTAS de mês de emissão. Oito arquivos são republicação integral. Decisão: MARCAR as repetições em uma coluna booleana em vez de apagá-las, mantendo a base auditável, e oferecer o descarte no carregamento.</w:t>
            </w:r>
          </w:p>
        </w:tc>
      </w:tr>
      <w:tr w:rsidRPr="00B92F1D" w:rsidR="00B92F1D" w:rsidTr="00B92F1D" w14:paraId="6F88B3B8" w14:textId="77777777">
        <w:trPr>
          <w:jc w:val="center"/>
        </w:trPr>
        <w:tc>
          <w:tcPr>
            <w:tcW w:w="0" w:type="auto"/>
          </w:tcPr>
          <w:p>
            <w:r/>
            <w:r>
              <w:rPr>
                <w:b/>
                <w:sz w:val="18"/>
              </w:rPr>
              <w:t>A série mensal de acidentes apresentava oscilações incompatíveis com o fenômeno — de 8 mil a 51 mil entre meses consecutivos de 2022.</w:t>
            </w:r>
          </w:p>
        </w:tc>
        <w:tc>
          <w:tcPr>
            <w:tcW w:w="0" w:type="auto"/>
          </w:tcPr>
          <w:p>
            <w:r/>
            <w:r>
              <w:rPr>
                <w:b w:val="0"/>
                <w:sz w:val="18"/>
              </w:rPr>
              <w:t>Decomposição da cobertura por mês de emissão e por arquivo, comparando com a série por data do acidente.</w:t>
            </w:r>
          </w:p>
        </w:tc>
        <w:tc>
          <w:tcPr>
            <w:tcW w:w="0" w:type="auto"/>
          </w:tcPr>
          <w:p>
            <w:r/>
            <w:r>
              <w:rPr>
                <w:b w:val="0"/>
                <w:sz w:val="18"/>
              </w:rPr>
              <w:t>Antes de interpretar qualquer tendência temporal era preciso separar variação do fenômeno de artefato de publicação.</w:t>
            </w:r>
          </w:p>
        </w:tc>
        <w:tc>
          <w:tcPr>
            <w:tcW w:w="0" w:type="auto"/>
          </w:tcPr>
          <w:p>
            <w:r/>
            <w:r>
              <w:rPr>
                <w:b w:val="0"/>
                <w:sz w:val="18"/>
              </w:rPr>
              <w:t>A irregularidade vem da cobertura: não há arquivo cobrindo as emissões de janeiro e fevereiro de 2022, e a defasagem mediana entre acidente e emissão é de apenas 3 dias — logo, os acidentes desses meses estão majoritariamente AUSENTES. Os meses finais de cada janela também estão incompletos. Consequência: análise temporal exige recorte explícito de período completo.</w:t>
            </w:r>
          </w:p>
        </w:tc>
      </w:tr>
      <w:tr w:rsidRPr="00B92F1D" w:rsidR="00B92F1D" w:rsidTr="00B92F1D" w14:paraId="0BD83A68" w14:textId="77777777">
        <w:trPr>
          <w:jc w:val="center"/>
        </w:trPr>
        <w:tc>
          <w:tcPr>
            <w:tcW w:w="0" w:type="auto"/>
            <w:hideMark/>
          </w:tcPr>
          <w:p>
            <w:r/>
            <w:r>
              <w:rPr>
                <w:b/>
                <w:sz w:val="18"/>
              </w:rPr>
              <w:t>Após a limpeza dos marcadores de ausência, o valor '{ñ' continuava aparecendo como categoria válida em indica_obito e origem_cadastramento.</w:t>
            </w:r>
          </w:p>
        </w:tc>
        <w:tc>
          <w:tcPr>
            <w:tcW w:w="0" w:type="auto"/>
            <w:hideMark/>
          </w:tcPr>
          <w:p>
            <w:r/>
            <w:r>
              <w:rPr>
                <w:b w:val="0"/>
                <w:sz w:val="18"/>
              </w:rPr>
              <w:t>Inspeção dos valores distintos de todas as colunas de texto, buscando prefixos comuns.</w:t>
            </w:r>
          </w:p>
        </w:tc>
        <w:tc>
          <w:tcPr>
            <w:tcW w:w="0" w:type="auto"/>
            <w:hideMark/>
          </w:tcPr>
          <w:p>
            <w:r/>
            <w:r>
              <w:rPr>
                <w:b w:val="0"/>
                <w:sz w:val="18"/>
              </w:rPr>
              <w:t>Uma categoria espúria com 90.844 registros distorceria qualquer distribuição de frequência e qualquer taxa calculada sobre essas colunas.</w:t>
            </w:r>
          </w:p>
        </w:tc>
        <w:tc>
          <w:tcPr>
            <w:tcW w:w="0" w:type="auto"/>
            <w:hideMark/>
          </w:tcPr>
          <w:p>
            <w:r/>
            <w:r>
              <w:rPr>
                <w:b w:val="0"/>
                <w:sz w:val="18"/>
              </w:rPr>
              <w:t>O próprio sentinela vem TRUNCADO pela largura fixa do campo: aparece como '{ñ class}', '{ñ class' e '{ñ', conforme a coluna. Verificou-se que nenhum valor legítimo da base começa com chave, nos 3,9 milhões de registros; a regra de limpeza passou a tratar qualquer valor iniciado por '{' como ausência.</w:t>
            </w:r>
          </w:p>
        </w:tc>
      </w:tr>
      <w:tr w:rsidRPr="00B92F1D" w:rsidR="00B92F1D" w:rsidTr="00B92F1D" w14:paraId="31622A89" w14:textId="77777777">
        <w:trPr>
          <w:jc w:val="center"/>
        </w:trPr>
        <w:tc>
          <w:tcPr>
            <w:tcW w:w="0" w:type="auto"/>
            <w:hideMark/>
          </w:tcPr>
          <w:p>
            <w:r/>
            <w:r>
              <w:rPr>
                <w:b/>
                <w:sz w:val="18"/>
              </w:rPr>
              <w:t>O ranking de letalidade por setor trazia 'Transporte Rodoviario de Carga' e 'Transporte Rodoviari' como setores distintos.</w:t>
            </w:r>
          </w:p>
        </w:tc>
        <w:tc>
          <w:tcPr>
            <w:tcW w:w="0" w:type="auto"/>
            <w:hideMark/>
          </w:tcPr>
          <w:p>
            <w:r/>
            <w:r>
              <w:rPr>
                <w:b w:val="0"/>
                <w:sz w:val="18"/>
              </w:rPr>
              <w:t>Contagem de quantas descrições diferentes cada código de CNAE, CBO e município assume na base.</w:t>
            </w:r>
          </w:p>
        </w:tc>
        <w:tc>
          <w:tcPr>
            <w:tcW w:w="0" w:type="auto"/>
            <w:hideMark/>
          </w:tcPr>
          <w:p>
            <w:r/>
            <w:r>
              <w:rPr>
                <w:b w:val="0"/>
                <w:sz w:val="18"/>
              </w:rPr>
              <w:t>Se o mesmo setor aparece sob dois rótulos, a contagem por setor está partida e o ranking de letalidade fica errado.</w:t>
            </w:r>
          </w:p>
        </w:tc>
        <w:tc>
          <w:tcPr>
            <w:tcW w:w="0" w:type="auto"/>
            <w:hideMark/>
          </w:tcPr>
          <w:p>
            <w:r/>
            <w:r>
              <w:rPr>
                <w:b w:val="0"/>
                <w:sz w:val="18"/>
              </w:rPr>
              <w:t>84,7% dos códigos CNAE têm mais de uma descrição, e 27,2% dos municípios. Decisão: todo agrupamento passa a usar o CÓDIGO; a descrição serve apenas como rótulo de exibição, tomando a versão mais longa observada para cada código. Refeito o ranking, Transporte Rodoviário de Carga sobe de 1,70% para 1,96% de letalidade.</w:t>
            </w:r>
          </w:p>
        </w:tc>
      </w:tr>
    </w:tbl>
    <w:p w:rsidR="00B92F1D" w:rsidP="00460126" w:rsidRDefault="00B92F1D" w14:paraId="0BDC8F3B" w14:textId="2E72F1A7">
      <w:pPr>
        <w:spacing w:after="0" w:line="360" w:lineRule="auto"/>
        <w:ind w:firstLine="708"/>
        <w:jc w:val="both"/>
        <w:rPr>
          <w:rFonts w:ascii="Arial" w:hAnsi="Arial" w:cs="Arial"/>
          <w:sz w:val="24"/>
          <w:szCs w:val="24"/>
        </w:rPr>
      </w:pPr>
    </w:p>
    <w:p w:rsidR="00ED4B04" w:rsidP="00460126" w:rsidRDefault="00ED4B04" w14:paraId="0AAD50BD" w14:textId="35FF178F">
      <w:pPr>
        <w:spacing w:after="0" w:line="360" w:lineRule="auto"/>
        <w:ind w:firstLine="708"/>
        <w:jc w:val="both"/>
        <w:rPr>
          <w:rFonts w:ascii="Arial" w:hAnsi="Arial" w:cs="Arial"/>
          <w:sz w:val="24"/>
          <w:szCs w:val="24"/>
        </w:rPr>
      </w:pPr>
    </w:p>
    <w:p w:rsidRPr="00ED4B04" w:rsidR="00ED4B04" w:rsidP="00ED4B04" w:rsidRDefault="00ED4B04" w14:paraId="7159D2F8" w14:textId="77777777">
      <w:pPr>
        <w:spacing w:after="0" w:line="360" w:lineRule="auto"/>
        <w:ind w:firstLine="708"/>
        <w:jc w:val="both"/>
        <w:rPr>
          <w:rFonts w:ascii="Arial" w:hAnsi="Arial" w:cs="Arial"/>
          <w:sz w:val="24"/>
          <w:szCs w:val="24"/>
        </w:rPr>
      </w:pPr>
      <w:r w:rsidRPr="00ED4B04">
        <w:rPr>
          <w:rFonts w:ascii="Arial" w:hAnsi="Arial" w:cs="Arial"/>
          <w:sz w:val="24"/>
          <w:szCs w:val="24"/>
        </w:rPr>
        <w:t>Podem ser realizadas, quando pertinentes:</w:t>
      </w:r>
    </w:p>
    <w:p w:rsidRPr="00ED4B04" w:rsidR="00ED4B04" w:rsidP="00ED4B04" w:rsidRDefault="00ED4B04" w14:paraId="1DFF799E"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 xml:space="preserve">seleção de variáveis; </w:t>
      </w:r>
    </w:p>
    <w:p w:rsidRPr="00ED4B04" w:rsidR="00ED4B04" w:rsidP="00ED4B04" w:rsidRDefault="00ED4B04" w14:paraId="6CE9703F"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 xml:space="preserve">transformação ou recodificação; </w:t>
      </w:r>
    </w:p>
    <w:p w:rsidRPr="00ED4B04" w:rsidR="00ED4B04" w:rsidP="00ED4B04" w:rsidRDefault="00ED4B04" w14:paraId="52841686"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 xml:space="preserve">tratamento de dados; </w:t>
      </w:r>
    </w:p>
    <w:p w:rsidRPr="00ED4B04" w:rsidR="00ED4B04" w:rsidP="00ED4B04" w:rsidRDefault="00ED4B04" w14:paraId="3060F36A"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 xml:space="preserve">análise de subgrupos; </w:t>
      </w:r>
    </w:p>
    <w:p w:rsidRPr="00ED4B04" w:rsidR="00ED4B04" w:rsidP="00ED4B04" w:rsidRDefault="00ED4B04" w14:paraId="1266F018"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 xml:space="preserve">comparação entre grupos; </w:t>
      </w:r>
    </w:p>
    <w:p w:rsidRPr="00ED4B04" w:rsidR="00ED4B04" w:rsidP="00ED4B04" w:rsidRDefault="00ED4B04" w14:paraId="1215803E"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 xml:space="preserve">investigação de outliers; </w:t>
      </w:r>
    </w:p>
    <w:p w:rsidRPr="00ED4B04" w:rsidR="00ED4B04" w:rsidP="00ED4B04" w:rsidRDefault="00ED4B04" w14:paraId="5DE594DA"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 xml:space="preserve">criação de variáveis; </w:t>
      </w:r>
    </w:p>
    <w:p w:rsidRPr="00ED4B04" w:rsidR="00ED4B04" w:rsidP="00ED4B04" w:rsidRDefault="00ED4B04" w14:paraId="4B8C503A"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 xml:space="preserve">novas visualizações; </w:t>
      </w:r>
    </w:p>
    <w:p w:rsidRPr="00ED4B04" w:rsidR="00ED4B04" w:rsidP="00ED4B04" w:rsidRDefault="00ED4B04" w14:paraId="60EEA386"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 xml:space="preserve">análise temporal; </w:t>
      </w:r>
    </w:p>
    <w:p w:rsidRPr="00ED4B04" w:rsidR="00ED4B04" w:rsidP="00ED4B04" w:rsidRDefault="00ED4B04" w14:paraId="3E043F72" w14:textId="77777777">
      <w:pPr>
        <w:pStyle w:val="PargrafodaLista"/>
        <w:numPr>
          <w:ilvl w:val="0"/>
          <w:numId w:val="13"/>
        </w:numPr>
        <w:spacing w:after="0" w:line="360" w:lineRule="auto"/>
        <w:jc w:val="both"/>
        <w:rPr>
          <w:rFonts w:ascii="Arial" w:hAnsi="Arial" w:cs="Arial"/>
          <w:sz w:val="24"/>
          <w:szCs w:val="24"/>
        </w:rPr>
      </w:pPr>
      <w:r w:rsidRPr="00ED4B04">
        <w:rPr>
          <w:rFonts w:ascii="Arial" w:hAnsi="Arial" w:cs="Arial"/>
          <w:sz w:val="24"/>
          <w:szCs w:val="24"/>
        </w:rPr>
        <w:t>reformulação da pergunta.</w:t>
      </w:r>
    </w:p>
    <w:p w:rsidR="00ED4B04" w:rsidP="00460126" w:rsidRDefault="00ED4B04" w14:paraId="1637ABEF" w14:textId="4CDEA748">
      <w:pPr>
        <w:spacing w:after="0" w:line="360" w:lineRule="auto"/>
        <w:ind w:firstLine="708"/>
        <w:jc w:val="both"/>
        <w:rPr>
          <w:rFonts w:ascii="Arial" w:hAnsi="Arial" w:cs="Arial"/>
          <w:sz w:val="24"/>
          <w:szCs w:val="24"/>
        </w:rPr>
      </w:pPr>
    </w:p>
    <w:p w:rsidR="008276DD" w:rsidP="008276DD" w:rsidRDefault="008276DD" w14:paraId="14C451FF" w14:textId="422FE92E">
      <w:pPr>
        <w:pStyle w:val="PargrafodaLista"/>
        <w:numPr>
          <w:ilvl w:val="0"/>
          <w:numId w:val="10"/>
        </w:numPr>
        <w:spacing w:after="0" w:line="360" w:lineRule="auto"/>
        <w:rPr>
          <w:rFonts w:ascii="Arial" w:hAnsi="Arial" w:cs="Arial"/>
          <w:b/>
          <w:bCs/>
          <w:sz w:val="24"/>
          <w:szCs w:val="24"/>
        </w:rPr>
      </w:pPr>
      <w:r w:rsidRPr="008276DD">
        <w:rPr>
          <w:rFonts w:ascii="Arial" w:hAnsi="Arial" w:cs="Arial"/>
          <w:b/>
          <w:bCs/>
          <w:sz w:val="24"/>
          <w:szCs w:val="24"/>
        </w:rPr>
        <w:t>REFINE — Novas questões</w:t>
      </w:r>
    </w:p>
    <w:p w:rsidR="008276DD" w:rsidP="008276DD" w:rsidRDefault="008276DD" w14:paraId="43115FA7" w14:textId="77777777">
      <w:pPr>
        <w:pStyle w:val="PargrafodaLista"/>
        <w:spacing w:after="0" w:line="360" w:lineRule="auto"/>
        <w:ind w:left="1068"/>
        <w:rPr>
          <w:rFonts w:ascii="Arial" w:hAnsi="Arial" w:cs="Arial"/>
          <w:b/>
          <w:bCs/>
          <w:sz w:val="24"/>
          <w:szCs w:val="24"/>
        </w:rPr>
      </w:pPr>
    </w:p>
    <w:tbl>
      <w:tblPr>
        <w:tblStyle w:val="Tabelacomgrade"/>
        <w:tblW w:w="0" w:type="auto"/>
        <w:jc w:val="center"/>
        <w:tblLook w:val="04A0" w:firstRow="1" w:lastRow="0" w:firstColumn="1" w:lastColumn="0" w:noHBand="0" w:noVBand="1"/>
      </w:tblPr>
      <w:tblGrid>
        <w:gridCol w:w="6685"/>
        <w:gridCol w:w="1117"/>
      </w:tblGrid>
      <w:tr w:rsidRPr="008276DD" w:rsidR="008276DD" w:rsidTr="00007807" w14:paraId="3F21218E" w14:textId="77777777">
        <w:trPr>
          <w:jc w:val="center"/>
        </w:trPr>
        <w:tc>
          <w:tcPr>
            <w:tcW w:w="6685" w:type="dxa"/>
            <w:hideMark/>
          </w:tcPr>
          <w:p w:rsidRPr="008276DD" w:rsidR="008276DD" w:rsidP="00007807" w:rsidRDefault="008276DD" w14:paraId="716FB0F7" w14:textId="77777777">
            <w:pPr>
              <w:jc w:val="center"/>
              <w:rPr>
                <w:rFonts w:ascii="Arial" w:hAnsi="Arial" w:eastAsia="Times New Roman" w:cs="Arial"/>
                <w:b/>
                <w:bCs/>
                <w:sz w:val="20"/>
                <w:szCs w:val="20"/>
                <w:lang w:eastAsia="pt-BR"/>
              </w:rPr>
            </w:pPr>
            <w:r w:rsidRPr="008276DD">
              <w:rPr>
                <w:rFonts w:ascii="Arial" w:hAnsi="Arial" w:eastAsia="Times New Roman" w:cs="Arial"/>
                <w:b/>
                <w:bCs/>
                <w:sz w:val="20"/>
                <w:szCs w:val="20"/>
                <w:lang w:eastAsia="pt-BR"/>
              </w:rPr>
              <w:t>Questão</w:t>
            </w:r>
          </w:p>
        </w:tc>
        <w:tc>
          <w:tcPr>
            <w:tcW w:w="0" w:type="auto"/>
            <w:hideMark/>
          </w:tcPr>
          <w:p w:rsidRPr="008276DD" w:rsidR="008276DD" w:rsidP="00007807" w:rsidRDefault="008276DD" w14:paraId="64E4F894" w14:textId="77777777">
            <w:pPr>
              <w:jc w:val="center"/>
              <w:rPr>
                <w:rFonts w:ascii="Arial" w:hAnsi="Arial" w:eastAsia="Times New Roman" w:cs="Arial"/>
                <w:b/>
                <w:bCs/>
                <w:sz w:val="20"/>
                <w:szCs w:val="20"/>
                <w:lang w:eastAsia="pt-BR"/>
              </w:rPr>
            </w:pPr>
            <w:r w:rsidRPr="008276DD">
              <w:rPr>
                <w:rFonts w:ascii="Arial" w:hAnsi="Arial" w:eastAsia="Times New Roman" w:cs="Arial"/>
                <w:b/>
                <w:bCs/>
                <w:sz w:val="20"/>
                <w:szCs w:val="20"/>
                <w:lang w:eastAsia="pt-BR"/>
              </w:rPr>
              <w:t>Resposta</w:t>
            </w:r>
          </w:p>
        </w:tc>
      </w:tr>
      <w:tr w:rsidRPr="008276DD" w:rsidR="008276DD" w:rsidTr="00007807" w14:paraId="190516FA" w14:textId="77777777">
        <w:trPr>
          <w:jc w:val="center"/>
        </w:trPr>
        <w:tc>
          <w:tcPr>
            <w:tcW w:w="6685" w:type="dxa"/>
            <w:hideMark/>
          </w:tcPr>
          <w:p w:rsidRPr="008276DD" w:rsidR="008276DD" w:rsidP="00007807" w:rsidRDefault="008276DD" w14:paraId="75110B9D" w14:textId="77777777">
            <w:pPr>
              <w:rPr>
                <w:rFonts w:ascii="Arial" w:hAnsi="Arial" w:eastAsia="Times New Roman" w:cs="Arial"/>
                <w:sz w:val="20"/>
                <w:szCs w:val="20"/>
                <w:lang w:eastAsia="pt-BR"/>
              </w:rPr>
            </w:pPr>
            <w:r w:rsidRPr="008276DD">
              <w:rPr>
                <w:rFonts w:ascii="Arial" w:hAnsi="Arial" w:eastAsia="Times New Roman" w:cs="Arial"/>
                <w:sz w:val="20"/>
                <w:szCs w:val="20"/>
                <w:lang w:eastAsia="pt-BR"/>
              </w:rPr>
              <w:t>Qual padrão chamou atenção?</w:t>
            </w:r>
          </w:p>
        </w:tc>
        <w:tc>
          <w:tcPr>
            <w:tcW w:w="0" w:type="auto"/>
            <w:hideMark/>
          </w:tcPr>
          <w:p>
            <w:r/>
            <w:r>
              <w:rPr>
                <w:b w:val="0"/>
                <w:sz w:val="18"/>
              </w:rPr>
              <w:t>O acidente de TRAJETO é o mais letal. Ele responde por 22,1% dos registros, contra 73,7% do acidente típico, mas sua letalidade é 2,7 vezes maior (0,877% contra 0,329%). Somado a isso, o setor de Transporte Rodoviário de Carga aparece como o mais letal entre todos, com 1,96% — 4,3 vezes a média geral.</w:t>
            </w:r>
          </w:p>
        </w:tc>
      </w:tr>
      <w:tr w:rsidRPr="008276DD" w:rsidR="008276DD" w:rsidTr="00007807" w14:paraId="32ABE2AD" w14:textId="77777777">
        <w:trPr>
          <w:jc w:val="center"/>
        </w:trPr>
        <w:tc>
          <w:tcPr>
            <w:tcW w:w="6685" w:type="dxa"/>
            <w:hideMark/>
          </w:tcPr>
          <w:p w:rsidRPr="008276DD" w:rsidR="008276DD" w:rsidP="00007807" w:rsidRDefault="008276DD" w14:paraId="734F38B4" w14:textId="77777777">
            <w:pPr>
              <w:rPr>
                <w:rFonts w:ascii="Arial" w:hAnsi="Arial" w:eastAsia="Times New Roman" w:cs="Arial"/>
                <w:sz w:val="20"/>
                <w:szCs w:val="20"/>
                <w:lang w:eastAsia="pt-BR"/>
              </w:rPr>
            </w:pPr>
            <w:r w:rsidRPr="008276DD">
              <w:rPr>
                <w:rFonts w:ascii="Arial" w:hAnsi="Arial" w:eastAsia="Times New Roman" w:cs="Arial"/>
                <w:sz w:val="20"/>
                <w:szCs w:val="20"/>
                <w:lang w:eastAsia="pt-BR"/>
              </w:rPr>
              <w:t>Que hipótese ou explicação pode ser levantada?</w:t>
            </w:r>
          </w:p>
        </w:tc>
        <w:tc>
          <w:tcPr>
            <w:tcW w:w="0" w:type="auto"/>
            <w:hideMark/>
          </w:tcPr>
          <w:p>
            <w:r/>
            <w:r>
              <w:rPr>
                <w:b w:val="0"/>
                <w:sz w:val="18"/>
              </w:rPr>
              <w:t>Os dois achados podem compartilhar o mesmo mecanismo: o TRÂNSITO. O acidente de trajeto ocorre em via pública, fora do ambiente controlado da empresa, sem os equipamentos de proteção e os protocolos que reduzem a gravidade dentro do estabelecimento; e o transporte rodoviário tem a via pública como o próprio local de trabalho. A hipótese é que a exposição ao trânsito, e não o setor ou o deslocamento em si, seja o fator associado à maior letalidade.</w:t>
            </w:r>
          </w:p>
        </w:tc>
      </w:tr>
      <w:tr w:rsidRPr="008276DD" w:rsidR="008276DD" w:rsidTr="00007807" w14:paraId="61ABA013" w14:textId="77777777">
        <w:trPr>
          <w:jc w:val="center"/>
        </w:trPr>
        <w:tc>
          <w:tcPr>
            <w:tcW w:w="6685" w:type="dxa"/>
            <w:hideMark/>
          </w:tcPr>
          <w:p w:rsidRPr="008276DD" w:rsidR="008276DD" w:rsidP="00007807" w:rsidRDefault="008276DD" w14:paraId="0723E15D" w14:textId="77777777">
            <w:pPr>
              <w:rPr>
                <w:rFonts w:ascii="Arial" w:hAnsi="Arial" w:eastAsia="Times New Roman" w:cs="Arial"/>
                <w:sz w:val="20"/>
                <w:szCs w:val="20"/>
                <w:lang w:eastAsia="pt-BR"/>
              </w:rPr>
            </w:pPr>
            <w:r w:rsidRPr="008276DD">
              <w:rPr>
                <w:rFonts w:ascii="Arial" w:hAnsi="Arial" w:eastAsia="Times New Roman" w:cs="Arial"/>
                <w:sz w:val="20"/>
                <w:szCs w:val="20"/>
                <w:lang w:eastAsia="pt-BR"/>
              </w:rPr>
              <w:t>Que evidência sustenta essa hipótese?</w:t>
            </w:r>
          </w:p>
        </w:tc>
        <w:tc>
          <w:tcPr>
            <w:tcW w:w="0" w:type="auto"/>
            <w:hideMark/>
          </w:tcPr>
          <w:p>
            <w:r/>
            <w:r>
              <w:rPr>
                <w:b w:val="0"/>
                <w:sz w:val="18"/>
              </w:rPr>
              <w:t>A convergência entre as duas análises independentes: a taxa por tipo de acidente e a taxa por setor econômico apontam para o mesmo mecanismo. Reforça a hipótese o fato de que outros setores do topo do ranking também envolvem via pública ou veículos — Obras de Terraplenagem (1,61%), Extração de Pedra, Areia e Argila (1,40%) e Comércio Varejista de Combustíveis (1,21%). A base tem volume suficiente para sustentar a comparação: 15.646 óbitos em 3,4 milhões de registros.</w:t>
            </w:r>
          </w:p>
        </w:tc>
      </w:tr>
      <w:tr w:rsidRPr="008276DD" w:rsidR="008276DD" w:rsidTr="00007807" w14:paraId="45CC921A" w14:textId="77777777">
        <w:trPr>
          <w:jc w:val="center"/>
        </w:trPr>
        <w:tc>
          <w:tcPr>
            <w:tcW w:w="6685" w:type="dxa"/>
            <w:hideMark/>
          </w:tcPr>
          <w:p w:rsidRPr="008276DD" w:rsidR="008276DD" w:rsidP="00007807" w:rsidRDefault="008276DD" w14:paraId="1028F0DE" w14:textId="77777777">
            <w:pPr>
              <w:rPr>
                <w:rFonts w:ascii="Arial" w:hAnsi="Arial" w:eastAsia="Times New Roman" w:cs="Arial"/>
                <w:sz w:val="20"/>
                <w:szCs w:val="20"/>
                <w:lang w:eastAsia="pt-BR"/>
              </w:rPr>
            </w:pPr>
            <w:r w:rsidRPr="008276DD">
              <w:rPr>
                <w:rFonts w:ascii="Arial" w:hAnsi="Arial" w:eastAsia="Times New Roman" w:cs="Arial"/>
                <w:sz w:val="20"/>
                <w:szCs w:val="20"/>
                <w:lang w:eastAsia="pt-BR"/>
              </w:rPr>
              <w:t>Qual é a principal limitação da evidência?</w:t>
            </w:r>
          </w:p>
        </w:tc>
        <w:tc>
          <w:tcPr>
            <w:tcW w:w="0" w:type="auto"/>
            <w:hideMark/>
          </w:tcPr>
          <w:p>
            <w:r/>
            <w:r>
              <w:rPr>
                <w:b w:val="0"/>
                <w:sz w:val="18"/>
              </w:rPr>
              <w:t>A evidência é ASSOCIATIVA e não permite calcular risco. Três limitações se somam: (1) não há denominador de exposição — a base registra acidentes, não trabalhadores expostos nem horas trabalhadas, de modo que 'letalidade' aqui é a proporção de óbitos ENTRE OS ACIDENTES COMUNICADOS, não a probabilidade de morrer no setor; (2) a base contém apenas acidentes COMUNICADOS, e a subnotificação é conhecida e provavelmente desigual entre setores, o que enviesa a comparação; (3) o local do acidente é desconhecido, pois a única variável geográfica confiável é a do empregador.</w:t>
            </w:r>
          </w:p>
        </w:tc>
      </w:tr>
      <w:tr w:rsidRPr="008276DD" w:rsidR="008276DD" w:rsidTr="00007807" w14:paraId="79A3A74A" w14:textId="77777777">
        <w:trPr>
          <w:jc w:val="center"/>
        </w:trPr>
        <w:tc>
          <w:tcPr>
            <w:tcW w:w="6685" w:type="dxa"/>
            <w:hideMark/>
          </w:tcPr>
          <w:p w:rsidRPr="008276DD" w:rsidR="008276DD" w:rsidP="00007807" w:rsidRDefault="008276DD" w14:paraId="540DBAD3" w14:textId="77777777">
            <w:pPr>
              <w:rPr>
                <w:rFonts w:ascii="Arial" w:hAnsi="Arial" w:eastAsia="Times New Roman" w:cs="Arial"/>
                <w:sz w:val="20"/>
                <w:szCs w:val="20"/>
                <w:lang w:eastAsia="pt-BR"/>
              </w:rPr>
            </w:pPr>
            <w:r w:rsidRPr="008276DD">
              <w:rPr>
                <w:rFonts w:ascii="Arial" w:hAnsi="Arial" w:eastAsia="Times New Roman" w:cs="Arial"/>
                <w:sz w:val="20"/>
                <w:szCs w:val="20"/>
                <w:lang w:eastAsia="pt-BR"/>
              </w:rPr>
              <w:t>Que nova pergunta surgiu?</w:t>
            </w:r>
          </w:p>
        </w:tc>
        <w:tc>
          <w:tcPr>
            <w:tcW w:w="0" w:type="auto"/>
            <w:hideMark/>
          </w:tcPr>
          <w:p>
            <w:r/>
            <w:r>
              <w:rPr>
                <w:b w:val="0"/>
                <w:sz w:val="18"/>
              </w:rPr>
              <w:t>Duas. Primeira: a maior letalidade do trajeto se mantém quando se controla o setor econômico, ou é o transporte rodoviário que a produz? Um cruzamento tipo × CNAE responderia. Segunda, e mais estrutural: é possível estimar o RISCO, e não apenas a proporção de óbitos, incorporando um denominador externo de vínculos empregatícios — RAIS ou CAGED — por setor e UF?</w:t>
            </w:r>
          </w:p>
        </w:tc>
      </w:tr>
    </w:tbl>
    <w:p w:rsidR="00072F3C" w:rsidP="008276DD" w:rsidRDefault="00072F3C" w14:paraId="17C69305" w14:textId="2A533D06">
      <w:pPr>
        <w:spacing w:after="0" w:line="360" w:lineRule="auto"/>
        <w:rPr>
          <w:rFonts w:ascii="Arial" w:hAnsi="Arial" w:cs="Arial"/>
          <w:b/>
          <w:bCs/>
          <w:sz w:val="24"/>
          <w:szCs w:val="24"/>
        </w:rPr>
      </w:pPr>
    </w:p>
    <w:p w:rsidR="00072F3C" w:rsidRDefault="00072F3C" w14:paraId="5658E8B8" w14:textId="77777777">
      <w:pPr>
        <w:rPr>
          <w:rFonts w:ascii="Arial" w:hAnsi="Arial" w:cs="Arial"/>
          <w:b/>
          <w:bCs/>
          <w:sz w:val="24"/>
          <w:szCs w:val="24"/>
        </w:rPr>
      </w:pPr>
      <w:r>
        <w:rPr>
          <w:rFonts w:ascii="Arial" w:hAnsi="Arial" w:cs="Arial"/>
          <w:b/>
          <w:bCs/>
          <w:sz w:val="24"/>
          <w:szCs w:val="24"/>
        </w:rPr>
        <w:br w:type="page"/>
      </w:r>
    </w:p>
    <w:p w:rsidR="00634FE8" w:rsidP="00634FE8" w:rsidRDefault="00634FE8" w14:paraId="4A6F168F" w14:textId="33059F3E">
      <w:pPr>
        <w:pStyle w:val="PargrafodaLista"/>
        <w:numPr>
          <w:ilvl w:val="0"/>
          <w:numId w:val="10"/>
        </w:numPr>
        <w:spacing w:after="0" w:line="360" w:lineRule="auto"/>
        <w:rPr>
          <w:rFonts w:ascii="Arial" w:hAnsi="Arial" w:cs="Arial"/>
          <w:b/>
          <w:bCs/>
          <w:sz w:val="24"/>
          <w:szCs w:val="24"/>
        </w:rPr>
      </w:pPr>
      <w:r w:rsidRPr="00634FE8">
        <w:rPr>
          <w:rFonts w:ascii="Arial" w:hAnsi="Arial" w:cs="Arial"/>
          <w:b/>
          <w:bCs/>
          <w:sz w:val="24"/>
          <w:szCs w:val="24"/>
        </w:rPr>
        <w:lastRenderedPageBreak/>
        <w:t>PRODUCE — Síntese</w:t>
      </w:r>
    </w:p>
    <w:p w:rsidR="00095A63" w:rsidP="00095A63" w:rsidRDefault="00095A63" w14:paraId="79BADFB7" w14:textId="77777777">
      <w:pPr>
        <w:pStyle w:val="PargrafodaLista"/>
        <w:spacing w:after="0" w:line="360" w:lineRule="auto"/>
        <w:ind w:left="1068"/>
        <w:rPr>
          <w:rFonts w:ascii="Arial" w:hAnsi="Arial" w:cs="Arial"/>
          <w:b/>
          <w:bCs/>
          <w:sz w:val="24"/>
          <w:szCs w:val="24"/>
        </w:rPr>
      </w:pPr>
    </w:p>
    <w:p w:rsidR="00634FE8" w:rsidP="00634FE8" w:rsidRDefault="00634FE8" w14:paraId="62E2533F" w14:textId="18002DD3">
      <w:pPr>
        <w:spacing w:after="0" w:line="360" w:lineRule="auto"/>
        <w:ind w:firstLine="708"/>
        <w:rPr>
          <w:rFonts w:ascii="Arial" w:hAnsi="Arial" w:cs="Arial"/>
          <w:sz w:val="24"/>
          <w:szCs w:val="24"/>
        </w:rPr>
      </w:pPr>
      <w:r w:rsidRPr="00634FE8">
        <w:rPr>
          <w:rFonts w:ascii="Arial" w:hAnsi="Arial" w:cs="Arial"/>
          <w:sz w:val="24"/>
          <w:szCs w:val="24"/>
        </w:rPr>
        <w:t xml:space="preserve">Selecione os </w:t>
      </w:r>
      <w:r w:rsidRPr="00634FE8">
        <w:rPr>
          <w:rFonts w:ascii="Arial" w:hAnsi="Arial" w:cs="Arial"/>
          <w:b/>
          <w:bCs/>
          <w:sz w:val="24"/>
          <w:szCs w:val="24"/>
        </w:rPr>
        <w:t>três principais achados</w:t>
      </w:r>
      <w:r w:rsidRPr="00634FE8">
        <w:rPr>
          <w:rFonts w:ascii="Arial" w:hAnsi="Arial" w:cs="Arial"/>
          <w:sz w:val="24"/>
          <w:szCs w:val="24"/>
        </w:rPr>
        <w:t xml:space="preserve"> da EDA.</w:t>
      </w:r>
    </w:p>
    <w:p w:rsidR="00634FE8" w:rsidP="00634FE8" w:rsidRDefault="00634FE8" w14:paraId="59EAA3F9" w14:textId="19A15F03">
      <w:pPr>
        <w:spacing w:after="0" w:line="360" w:lineRule="auto"/>
        <w:ind w:firstLine="708"/>
        <w:rPr>
          <w:rFonts w:ascii="Arial" w:hAnsi="Arial" w:cs="Arial"/>
          <w:sz w:val="24"/>
          <w:szCs w:val="24"/>
        </w:rPr>
      </w:pPr>
    </w:p>
    <w:tbl>
      <w:tblPr>
        <w:tblStyle w:val="Tabelacomgrade"/>
        <w:tblW w:w="0" w:type="auto"/>
        <w:jc w:val="center"/>
        <w:tblLook w:val="04A0" w:firstRow="1" w:lastRow="0" w:firstColumn="1" w:lastColumn="0" w:noHBand="0" w:noVBand="1"/>
      </w:tblPr>
      <w:tblGrid>
        <w:gridCol w:w="950"/>
        <w:gridCol w:w="1150"/>
        <w:gridCol w:w="2873"/>
        <w:gridCol w:w="1150"/>
      </w:tblGrid>
      <w:tr w:rsidRPr="00634FE8" w:rsidR="00634FE8" w:rsidTr="00634FE8" w14:paraId="090E648D" w14:textId="77777777">
        <w:trPr>
          <w:jc w:val="center"/>
        </w:trPr>
        <w:tc>
          <w:tcPr>
            <w:tcW w:w="0" w:type="auto"/>
            <w:hideMark/>
          </w:tcPr>
          <w:p w:rsidRPr="00634FE8" w:rsidR="00634FE8" w:rsidP="00634FE8" w:rsidRDefault="00634FE8" w14:paraId="4C945C82" w14:textId="77777777">
            <w:pPr>
              <w:jc w:val="center"/>
              <w:rPr>
                <w:rFonts w:ascii="Arial" w:hAnsi="Arial" w:eastAsia="Times New Roman" w:cs="Arial"/>
                <w:b/>
                <w:bCs/>
                <w:sz w:val="20"/>
                <w:szCs w:val="20"/>
                <w:lang w:eastAsia="pt-BR"/>
              </w:rPr>
            </w:pPr>
            <w:r w:rsidRPr="00634FE8">
              <w:rPr>
                <w:rFonts w:ascii="Arial" w:hAnsi="Arial" w:eastAsia="Times New Roman" w:cs="Arial"/>
                <w:b/>
                <w:bCs/>
                <w:sz w:val="20"/>
                <w:szCs w:val="20"/>
                <w:lang w:eastAsia="pt-BR"/>
              </w:rPr>
              <w:t>Achado</w:t>
            </w:r>
          </w:p>
        </w:tc>
        <w:tc>
          <w:tcPr>
            <w:tcW w:w="0" w:type="auto"/>
            <w:hideMark/>
          </w:tcPr>
          <w:p w:rsidRPr="00634FE8" w:rsidR="00634FE8" w:rsidP="00634FE8" w:rsidRDefault="00634FE8" w14:paraId="72ADD717" w14:textId="77777777">
            <w:pPr>
              <w:jc w:val="center"/>
              <w:rPr>
                <w:rFonts w:ascii="Arial" w:hAnsi="Arial" w:eastAsia="Times New Roman" w:cs="Arial"/>
                <w:b/>
                <w:bCs/>
                <w:sz w:val="20"/>
                <w:szCs w:val="20"/>
                <w:lang w:eastAsia="pt-BR"/>
              </w:rPr>
            </w:pPr>
            <w:r w:rsidRPr="00634FE8">
              <w:rPr>
                <w:rFonts w:ascii="Arial" w:hAnsi="Arial" w:eastAsia="Times New Roman" w:cs="Arial"/>
                <w:b/>
                <w:bCs/>
                <w:sz w:val="20"/>
                <w:szCs w:val="20"/>
                <w:lang w:eastAsia="pt-BR"/>
              </w:rPr>
              <w:t>Evidência</w:t>
            </w:r>
          </w:p>
        </w:tc>
        <w:tc>
          <w:tcPr>
            <w:tcW w:w="0" w:type="auto"/>
            <w:hideMark/>
          </w:tcPr>
          <w:p w:rsidRPr="00634FE8" w:rsidR="00634FE8" w:rsidP="00634FE8" w:rsidRDefault="00634FE8" w14:paraId="122194D4" w14:textId="77777777">
            <w:pPr>
              <w:jc w:val="center"/>
              <w:rPr>
                <w:rFonts w:ascii="Arial" w:hAnsi="Arial" w:eastAsia="Times New Roman" w:cs="Arial"/>
                <w:b/>
                <w:bCs/>
                <w:sz w:val="20"/>
                <w:szCs w:val="20"/>
                <w:lang w:eastAsia="pt-BR"/>
              </w:rPr>
            </w:pPr>
            <w:r w:rsidRPr="00634FE8">
              <w:rPr>
                <w:rFonts w:ascii="Arial" w:hAnsi="Arial" w:eastAsia="Times New Roman" w:cs="Arial"/>
                <w:b/>
                <w:bCs/>
                <w:sz w:val="20"/>
                <w:szCs w:val="20"/>
                <w:lang w:eastAsia="pt-BR"/>
              </w:rPr>
              <w:t>Relevância para o problema</w:t>
            </w:r>
          </w:p>
        </w:tc>
        <w:tc>
          <w:tcPr>
            <w:tcW w:w="0" w:type="auto"/>
            <w:hideMark/>
          </w:tcPr>
          <w:p w:rsidRPr="00634FE8" w:rsidR="00634FE8" w:rsidP="00634FE8" w:rsidRDefault="00634FE8" w14:paraId="2D574C14" w14:textId="77777777">
            <w:pPr>
              <w:jc w:val="center"/>
              <w:rPr>
                <w:rFonts w:ascii="Arial" w:hAnsi="Arial" w:eastAsia="Times New Roman" w:cs="Arial"/>
                <w:b/>
                <w:bCs/>
                <w:sz w:val="20"/>
                <w:szCs w:val="20"/>
                <w:lang w:eastAsia="pt-BR"/>
              </w:rPr>
            </w:pPr>
            <w:r w:rsidRPr="00634FE8">
              <w:rPr>
                <w:rFonts w:ascii="Arial" w:hAnsi="Arial" w:eastAsia="Times New Roman" w:cs="Arial"/>
                <w:b/>
                <w:bCs/>
                <w:sz w:val="20"/>
                <w:szCs w:val="20"/>
                <w:lang w:eastAsia="pt-BR"/>
              </w:rPr>
              <w:t>Limitação</w:t>
            </w:r>
          </w:p>
        </w:tc>
      </w:tr>
      <w:tr w:rsidRPr="00634FE8" w:rsidR="00634FE8" w:rsidTr="00634FE8" w14:paraId="50D070AD" w14:textId="77777777">
        <w:trPr>
          <w:jc w:val="center"/>
        </w:trPr>
        <w:tc>
          <w:tcPr>
            <w:tcW w:w="0" w:type="auto"/>
            <w:hideMark/>
          </w:tcPr>
          <w:p>
            <w:r/>
            <w:r>
              <w:rPr>
                <w:b/>
                <w:sz w:val="18"/>
              </w:rPr>
              <w:t>1. Os arquivos do acervo se sobrepõem: 11,7% dos registros são republicação, e a cobertura temporal é irregular.</w:t>
            </w:r>
          </w:p>
        </w:tc>
        <w:tc>
          <w:tcPr>
            <w:tcW w:w="0" w:type="auto"/>
            <w:hideMark/>
          </w:tcPr>
          <w:p>
            <w:r/>
            <w:r>
              <w:rPr>
                <w:b w:val="0"/>
                <w:sz w:val="18"/>
              </w:rPr>
              <w:t>458.155 de 3.931.904 linhas repetem registro anterior; 8 arquivos não trazem um único registro novo. Não há arquivo cobrindo as emissões de jan–fev/2022, e a série mensal oscila de 8 mil a 128 mil sem padrão epidemiológico.</w:t>
            </w:r>
          </w:p>
        </w:tc>
        <w:tc>
          <w:tcPr>
            <w:tcW w:w="0" w:type="auto"/>
            <w:hideMark/>
          </w:tcPr>
          <w:p>
            <w:r/>
            <w:r>
              <w:rPr>
                <w:b w:val="0"/>
                <w:sz w:val="18"/>
              </w:rPr>
              <w:t>Determina o que é possível analisar. Qualquer contagem — por ano, UF ou setor — sai inflada em 11,7% se os arquivos forem simplesmente empilhados, e séries temporais exigem recorte explícito de períodos completos.</w:t>
            </w:r>
          </w:p>
        </w:tc>
        <w:tc>
          <w:tcPr>
            <w:tcW w:w="0" w:type="auto"/>
            <w:hideMark/>
          </w:tcPr>
          <w:p>
            <w:r/>
            <w:r>
              <w:rPr>
                <w:b w:val="0"/>
                <w:sz w:val="18"/>
              </w:rPr>
              <w:t>A identificação de republicação é feita por igualdade integral da linha, pois os registros não têm identificador. Duas CATs realmente distintas e idênticas em todos os campos seriam contadas como uma só.</w:t>
            </w:r>
          </w:p>
        </w:tc>
      </w:tr>
      <w:tr w:rsidRPr="00634FE8" w:rsidR="00634FE8" w:rsidTr="00634FE8" w14:paraId="4A6E1D8E" w14:textId="77777777">
        <w:trPr>
          <w:jc w:val="center"/>
        </w:trPr>
        <w:tc>
          <w:tcPr>
            <w:tcW w:w="0" w:type="auto"/>
            <w:hideMark/>
          </w:tcPr>
          <w:p>
            <w:r/>
            <w:r>
              <w:rPr>
                <w:b/>
                <w:sz w:val="18"/>
              </w:rPr>
              <w:t>2. O acidente de trajeto é 2,7 vezes mais letal que o típico, e o transporte rodoviário de carga é o setor mais letal da base.</w:t>
            </w:r>
          </w:p>
        </w:tc>
        <w:tc>
          <w:tcPr>
            <w:tcW w:w="0" w:type="auto"/>
            <w:hideMark/>
          </w:tcPr>
          <w:p>
            <w:r/>
            <w:r>
              <w:rPr>
                <w:b w:val="0"/>
                <w:sz w:val="18"/>
              </w:rPr>
              <w:t>Letalidade de 0,877% no trajeto contra 0,329% no típico; 6.743 óbitos em trajeto apesar de o típico ser 3,3 vezes mais frequente. Transporte Rodoviário de Carga atinge 1,96%, contra média geral de 0,456%.</w:t>
            </w:r>
          </w:p>
        </w:tc>
        <w:tc>
          <w:tcPr>
            <w:tcW w:w="0" w:type="auto"/>
            <w:hideMark/>
          </w:tcPr>
          <w:p>
            <w:r/>
            <w:r>
              <w:rPr>
                <w:b w:val="0"/>
                <w:sz w:val="18"/>
              </w:rPr>
              <w:t>Aponta um mecanismo comum — a exposição ao trânsito — que atravessa a classificação por tipo de acidente e a classificação por setor, e sugere um recorte concreto para o artigo.</w:t>
            </w:r>
          </w:p>
        </w:tc>
        <w:tc>
          <w:tcPr>
            <w:tcW w:w="0" w:type="auto"/>
            <w:hideMark/>
          </w:tcPr>
          <w:p>
            <w:r/>
            <w:r>
              <w:rPr>
                <w:b w:val="0"/>
                <w:sz w:val="18"/>
              </w:rPr>
              <w:t>É associação, não risco: a base não traz denominador de exposição, e a subnotificação de acidentes é provavelmente desigual entre setores.</w:t>
            </w:r>
          </w:p>
        </w:tc>
      </w:tr>
      <w:tr w:rsidRPr="00634FE8" w:rsidR="00634FE8" w:rsidTr="00634FE8" w14:paraId="378427F4" w14:textId="77777777">
        <w:trPr>
          <w:jc w:val="center"/>
        </w:trPr>
        <w:tc>
          <w:tcPr>
            <w:tcW w:w="0" w:type="auto"/>
            <w:hideMark/>
          </w:tcPr>
          <w:p>
            <w:r/>
            <w:r>
              <w:rPr>
                <w:b/>
                <w:sz w:val="18"/>
              </w:rPr>
              <w:t>3. A variável de UF do acidente está corrompida na origem e é irrecuperável; a geografia só pode ser analisada pelo empregador.</w:t>
            </w:r>
          </w:p>
        </w:tc>
        <w:tc>
          <w:tcPr>
            <w:tcW w:w="0" w:type="auto"/>
            <w:hideMark/>
          </w:tcPr>
          <w:p>
            <w:r/>
            <w:r>
              <w:rPr>
                <w:b w:val="0"/>
                <w:sz w:val="18"/>
              </w:rPr>
              <w:t>Os rótulos estão trocados de forma sistemática (São Paulo gravado como 'Maranhão', 1.339.950 registros) e 12 UFs — entre elas RS, SC, BA e GO — não têm rótulo algum, colapsando em 32,9% da base.</w:t>
            </w:r>
          </w:p>
        </w:tc>
        <w:tc>
          <w:tcPr>
            <w:tcW w:w="0" w:type="auto"/>
            <w:hideMark/>
          </w:tcPr>
          <w:p>
            <w:r/>
            <w:r>
              <w:rPr>
                <w:b w:val="0"/>
                <w:sz w:val="18"/>
              </w:rPr>
              <w:t>Restringe diretamente o escopo do artigo: qualquer recorte que dependa de ONDE o acidente ocorreu precisa ser reformulado para 'onde está o empregador'.</w:t>
            </w:r>
          </w:p>
        </w:tc>
        <w:tc>
          <w:tcPr>
            <w:tcW w:w="0" w:type="auto"/>
            <w:hideMark/>
          </w:tcPr>
          <w:p>
            <w:r/>
            <w:r>
              <w:rPr>
                <w:b w:val="0"/>
                <w:sz w:val="18"/>
              </w:rPr>
              <w:t>A UF do empregador não é substituto adequado: nas linhas em que ambas as informações existem, elas divergem na maioria dos casos — acidentes de trajeto e trabalho em campo ocorrem longe da sede.</w:t>
            </w:r>
          </w:p>
        </w:tc>
      </w:tr>
    </w:tbl>
    <w:p w:rsidR="00634FE8" w:rsidP="00634FE8" w:rsidRDefault="00634FE8" w14:paraId="5EC6C643" w14:textId="677870B3">
      <w:pPr>
        <w:spacing w:after="0" w:line="360" w:lineRule="auto"/>
        <w:ind w:firstLine="708"/>
        <w:rPr>
          <w:rFonts w:ascii="Arial" w:hAnsi="Arial" w:cs="Arial"/>
          <w:sz w:val="24"/>
          <w:szCs w:val="24"/>
        </w:rPr>
      </w:pPr>
    </w:p>
    <w:p w:rsidR="00E26547" w:rsidP="00634FE8" w:rsidRDefault="00E26547" w14:paraId="12886DE1" w14:textId="77777777">
      <w:pPr>
        <w:spacing w:after="0" w:line="360" w:lineRule="auto"/>
        <w:ind w:firstLine="708"/>
        <w:rPr>
          <w:rFonts w:ascii="Arial" w:hAnsi="Arial" w:cs="Arial"/>
          <w:sz w:val="24"/>
          <w:szCs w:val="24"/>
        </w:rPr>
      </w:pPr>
    </w:p>
    <w:p w:rsidR="00E26547" w:rsidP="00E26547" w:rsidRDefault="00E26547" w14:paraId="7943C048" w14:textId="45489FE8">
      <w:pPr>
        <w:pStyle w:val="PargrafodaLista"/>
        <w:numPr>
          <w:ilvl w:val="0"/>
          <w:numId w:val="10"/>
        </w:numPr>
        <w:spacing w:after="0" w:line="360" w:lineRule="auto"/>
        <w:rPr>
          <w:rFonts w:ascii="Arial" w:hAnsi="Arial" w:cs="Arial"/>
          <w:b/>
          <w:bCs/>
          <w:sz w:val="24"/>
          <w:szCs w:val="24"/>
        </w:rPr>
      </w:pPr>
      <w:r w:rsidRPr="00E26547">
        <w:rPr>
          <w:rFonts w:ascii="Arial" w:hAnsi="Arial" w:cs="Arial"/>
          <w:b/>
          <w:bCs/>
          <w:sz w:val="24"/>
          <w:szCs w:val="24"/>
        </w:rPr>
        <w:t>PRODUCE — Workflow da análise</w:t>
      </w:r>
    </w:p>
    <w:p w:rsidR="00095A63" w:rsidP="00095A63" w:rsidRDefault="00095A63" w14:paraId="0E2B6D1D" w14:textId="77777777">
      <w:pPr>
        <w:pStyle w:val="PargrafodaLista"/>
        <w:spacing w:after="0" w:line="360" w:lineRule="auto"/>
        <w:ind w:left="1068"/>
        <w:rPr>
          <w:rFonts w:ascii="Arial" w:hAnsi="Arial" w:cs="Arial"/>
          <w:b/>
          <w:bCs/>
          <w:sz w:val="24"/>
          <w:szCs w:val="24"/>
        </w:rPr>
      </w:pPr>
    </w:p>
    <w:p w:rsidRPr="00095A63" w:rsidR="00095A63" w:rsidP="00095A63" w:rsidRDefault="00095A63" w14:paraId="4AFEDE9A" w14:textId="77777777">
      <w:pPr>
        <w:spacing w:after="0" w:line="360" w:lineRule="auto"/>
        <w:ind w:left="360" w:firstLine="708"/>
        <w:rPr>
          <w:rFonts w:ascii="Arial" w:hAnsi="Arial" w:cs="Arial"/>
          <w:sz w:val="24"/>
          <w:szCs w:val="24"/>
        </w:rPr>
      </w:pPr>
      <w:r w:rsidRPr="00095A63">
        <w:rPr>
          <w:rFonts w:ascii="Arial" w:hAnsi="Arial" w:cs="Arial"/>
          <w:sz w:val="24"/>
          <w:szCs w:val="24"/>
        </w:rPr>
        <w:t>Elabore uma representação visual do processo realizado pelo grupo.</w:t>
      </w:r>
    </w:p>
    <w:p w:rsidR="00095A63" w:rsidP="00095A63" w:rsidRDefault="00095A63" w14:paraId="2EAE8759" w14:textId="73B2AE44">
      <w:pPr>
        <w:spacing w:after="0" w:line="360" w:lineRule="auto"/>
        <w:ind w:left="360" w:firstLine="708"/>
        <w:rPr>
          <w:rFonts w:ascii="Arial" w:hAnsi="Arial" w:cs="Arial"/>
          <w:sz w:val="24"/>
          <w:szCs w:val="24"/>
        </w:rPr>
      </w:pPr>
      <w:r w:rsidRPr="00095A63">
        <w:rPr>
          <w:rFonts w:ascii="Arial" w:hAnsi="Arial" w:cs="Arial"/>
          <w:sz w:val="24"/>
          <w:szCs w:val="24"/>
        </w:rPr>
        <w:t>O workflow deve apresentar:</w:t>
      </w:r>
      <w:r>
        <w:rPr>
          <w:rFonts w:ascii="Arial" w:hAnsi="Arial" w:cs="Arial"/>
          <w:sz w:val="24"/>
          <w:szCs w:val="24"/>
        </w:rPr>
        <w:t xml:space="preserve"> </w:t>
      </w:r>
      <w:r w:rsidRPr="00095A63">
        <w:rPr>
          <w:rFonts w:ascii="Arial" w:hAnsi="Arial" w:cs="Arial"/>
          <w:sz w:val="24"/>
          <w:szCs w:val="24"/>
        </w:rPr>
        <w:t>Dados → Exploração → Decisões → Análises → Resultados</w:t>
      </w:r>
      <w:r>
        <w:rPr>
          <w:rFonts w:ascii="Arial" w:hAnsi="Arial" w:cs="Arial"/>
          <w:sz w:val="24"/>
          <w:szCs w:val="24"/>
        </w:rPr>
        <w:t>.</w:t>
      </w:r>
    </w:p>
    <w:p w:rsidR="00095A63" w:rsidP="00095A63" w:rsidRDefault="00095A63" w14:paraId="2EAE8759" w14:textId="73B2AE44">
      <w:pPr>
        <w:spacing w:after="0" w:line="360" w:lineRule="auto"/>
        <w:ind w:left="0" w:firstLine="0"/>
        <w:jc w:val="center"/>
        <w:rPr>
          <w:rFonts w:ascii="Arial" w:hAnsi="Arial" w:cs="Arial"/>
          <w:sz w:val="24"/>
          <w:szCs w:val="24"/>
        </w:rPr>
      </w:pPr>
      <w:r>
        <w:drawing>
          <wp:inline xmlns:a="http://schemas.openxmlformats.org/drawingml/2006/main" xmlns:pic="http://schemas.openxmlformats.org/drawingml/2006/picture">
            <wp:extent cx="5940000" cy="2531869"/>
            <wp:docPr id="7" name="Picture 7"/>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5940000" cy="2531869"/>
                    </a:xfrm>
                    <a:prstGeom prst="rect"/>
                  </pic:spPr>
                </pic:pic>
              </a:graphicData>
            </a:graphic>
          </wp:inline>
        </w:drawing>
      </w:r>
    </w:p>
    <w:p w:rsidR="00095A63" w:rsidP="00095A63" w:rsidRDefault="00095A63" w14:paraId="2EAE8759" w14:textId="73B2AE44">
      <w:pPr>
        <w:spacing w:after="0" w:line="360" w:lineRule="auto"/>
        <w:ind w:left="0" w:firstLine="0"/>
        <w:jc w:val="center"/>
        <w:rPr>
          <w:rFonts w:ascii="Arial" w:hAnsi="Arial" w:cs="Arial"/>
          <w:sz w:val="24"/>
          <w:szCs w:val="24"/>
        </w:rPr>
      </w:pPr>
      <w:r>
        <w:rPr>
          <w:i/>
          <w:color w:val="52514E"/>
          <w:sz w:val="17"/>
        </w:rPr>
        <w:t>Figura 7 — Workflow da análise exploratória, com cada etapa marcada pela fase do ciclo ERP. A seta tracejada indica o retorno ao REFINE provocado por achados da etapa de análise.</w:t>
      </w:r>
    </w:p>
    <w:p w:rsidR="00095A63" w:rsidP="00095A63" w:rsidRDefault="00095A63" w14:paraId="28D46BED" w14:textId="783D3B6F">
      <w:pPr>
        <w:spacing w:after="0" w:line="360" w:lineRule="auto"/>
        <w:ind w:left="360" w:firstLine="708"/>
        <w:rPr>
          <w:rFonts w:ascii="Arial" w:hAnsi="Arial" w:cs="Arial"/>
          <w:sz w:val="24"/>
          <w:szCs w:val="24"/>
        </w:rPr>
      </w:pPr>
    </w:p>
    <w:p w:rsidRPr="00095A63" w:rsidR="00095A63" w:rsidP="00095A63" w:rsidRDefault="00095A63" w14:paraId="20A00581" w14:textId="77777777">
      <w:pPr>
        <w:spacing w:after="0" w:line="360" w:lineRule="auto"/>
        <w:ind w:firstLine="708"/>
        <w:jc w:val="both"/>
        <w:rPr>
          <w:rFonts w:ascii="Arial" w:hAnsi="Arial" w:cs="Arial"/>
          <w:sz w:val="24"/>
          <w:szCs w:val="24"/>
        </w:rPr>
      </w:pPr>
      <w:r w:rsidRPr="00095A63">
        <w:rPr>
          <w:rFonts w:ascii="Arial" w:hAnsi="Arial" w:cs="Arial"/>
          <w:sz w:val="24"/>
          <w:szCs w:val="24"/>
        </w:rPr>
        <w:t>Identifique:</w:t>
      </w:r>
    </w:p>
    <w:p w:rsidRPr="00095A63" w:rsidR="00095A63" w:rsidP="00095A63" w:rsidRDefault="00095A63" w14:paraId="35FFEEEB" w14:textId="77777777">
      <w:pPr>
        <w:pStyle w:val="PargrafodaLista"/>
        <w:numPr>
          <w:ilvl w:val="0"/>
          <w:numId w:val="15"/>
        </w:numPr>
        <w:spacing w:after="0" w:line="360" w:lineRule="auto"/>
        <w:jc w:val="both"/>
        <w:rPr>
          <w:rFonts w:ascii="Arial" w:hAnsi="Arial" w:cs="Arial"/>
          <w:sz w:val="24"/>
          <w:szCs w:val="24"/>
        </w:rPr>
      </w:pPr>
      <w:r w:rsidRPr="00095A63">
        <w:rPr>
          <w:rFonts w:ascii="Arial" w:hAnsi="Arial" w:cs="Arial"/>
          <w:sz w:val="24"/>
          <w:szCs w:val="24"/>
        </w:rPr>
        <w:t xml:space="preserve">etapas realizadas; </w:t>
      </w:r>
    </w:p>
    <w:p w:rsidRPr="00095A63" w:rsidR="00095A63" w:rsidP="00095A63" w:rsidRDefault="00095A63" w14:paraId="367D8B08" w14:textId="77777777">
      <w:pPr>
        <w:pStyle w:val="PargrafodaLista"/>
        <w:numPr>
          <w:ilvl w:val="0"/>
          <w:numId w:val="15"/>
        </w:numPr>
        <w:spacing w:after="0" w:line="360" w:lineRule="auto"/>
        <w:jc w:val="both"/>
        <w:rPr>
          <w:rFonts w:ascii="Arial" w:hAnsi="Arial" w:cs="Arial"/>
          <w:sz w:val="24"/>
          <w:szCs w:val="24"/>
        </w:rPr>
      </w:pPr>
      <w:r w:rsidRPr="00095A63">
        <w:rPr>
          <w:rFonts w:ascii="Arial" w:hAnsi="Arial" w:cs="Arial"/>
          <w:sz w:val="24"/>
          <w:szCs w:val="24"/>
        </w:rPr>
        <w:t xml:space="preserve">técnicas utilizadas; </w:t>
      </w:r>
    </w:p>
    <w:p w:rsidRPr="00095A63" w:rsidR="00095A63" w:rsidP="00095A63" w:rsidRDefault="00095A63" w14:paraId="094B8DB2" w14:textId="77777777">
      <w:pPr>
        <w:pStyle w:val="PargrafodaLista"/>
        <w:numPr>
          <w:ilvl w:val="0"/>
          <w:numId w:val="15"/>
        </w:numPr>
        <w:spacing w:after="0" w:line="360" w:lineRule="auto"/>
        <w:jc w:val="both"/>
        <w:rPr>
          <w:rFonts w:ascii="Arial" w:hAnsi="Arial" w:cs="Arial"/>
          <w:sz w:val="24"/>
          <w:szCs w:val="24"/>
        </w:rPr>
      </w:pPr>
      <w:r w:rsidRPr="00095A63">
        <w:rPr>
          <w:rFonts w:ascii="Arial" w:hAnsi="Arial" w:cs="Arial"/>
          <w:sz w:val="24"/>
          <w:szCs w:val="24"/>
        </w:rPr>
        <w:t xml:space="preserve">ferramentas; </w:t>
      </w:r>
    </w:p>
    <w:p w:rsidRPr="00095A63" w:rsidR="00095A63" w:rsidP="00095A63" w:rsidRDefault="00095A63" w14:paraId="3287ACB2" w14:textId="77777777">
      <w:pPr>
        <w:pStyle w:val="PargrafodaLista"/>
        <w:numPr>
          <w:ilvl w:val="0"/>
          <w:numId w:val="15"/>
        </w:numPr>
        <w:spacing w:after="0" w:line="360" w:lineRule="auto"/>
        <w:jc w:val="both"/>
        <w:rPr>
          <w:rFonts w:ascii="Arial" w:hAnsi="Arial" w:cs="Arial"/>
          <w:sz w:val="24"/>
          <w:szCs w:val="24"/>
        </w:rPr>
      </w:pPr>
      <w:r w:rsidRPr="00095A63">
        <w:rPr>
          <w:rFonts w:ascii="Arial" w:hAnsi="Arial" w:cs="Arial"/>
          <w:sz w:val="24"/>
          <w:szCs w:val="24"/>
        </w:rPr>
        <w:t xml:space="preserve">transformações; </w:t>
      </w:r>
    </w:p>
    <w:p w:rsidRPr="00095A63" w:rsidR="00095A63" w:rsidP="00095A63" w:rsidRDefault="00095A63" w14:paraId="19F90A00" w14:textId="77777777">
      <w:pPr>
        <w:pStyle w:val="PargrafodaLista"/>
        <w:numPr>
          <w:ilvl w:val="0"/>
          <w:numId w:val="15"/>
        </w:numPr>
        <w:spacing w:after="0" w:line="360" w:lineRule="auto"/>
        <w:jc w:val="both"/>
        <w:rPr>
          <w:rFonts w:ascii="Arial" w:hAnsi="Arial" w:cs="Arial"/>
          <w:sz w:val="24"/>
          <w:szCs w:val="24"/>
        </w:rPr>
      </w:pPr>
      <w:r w:rsidRPr="00095A63">
        <w:rPr>
          <w:rFonts w:ascii="Arial" w:hAnsi="Arial" w:cs="Arial"/>
          <w:sz w:val="24"/>
          <w:szCs w:val="24"/>
        </w:rPr>
        <w:t xml:space="preserve">visualizações; </w:t>
      </w:r>
    </w:p>
    <w:p w:rsidRPr="00095A63" w:rsidR="00095A63" w:rsidP="00095A63" w:rsidRDefault="00095A63" w14:paraId="0201539B" w14:textId="77777777">
      <w:pPr>
        <w:pStyle w:val="PargrafodaLista"/>
        <w:numPr>
          <w:ilvl w:val="0"/>
          <w:numId w:val="15"/>
        </w:numPr>
        <w:spacing w:after="0" w:line="360" w:lineRule="auto"/>
        <w:jc w:val="both"/>
        <w:rPr>
          <w:rFonts w:ascii="Arial" w:hAnsi="Arial" w:cs="Arial"/>
          <w:sz w:val="24"/>
          <w:szCs w:val="24"/>
        </w:rPr>
      </w:pPr>
      <w:r w:rsidRPr="00095A63">
        <w:rPr>
          <w:rFonts w:ascii="Arial" w:hAnsi="Arial" w:cs="Arial"/>
          <w:sz w:val="24"/>
          <w:szCs w:val="24"/>
        </w:rPr>
        <w:t xml:space="preserve">decisões analíticas; </w:t>
      </w:r>
    </w:p>
    <w:p w:rsidRPr="00095A63" w:rsidR="00095A63" w:rsidP="00095A63" w:rsidRDefault="00095A63" w14:paraId="07F11E3B" w14:textId="77777777">
      <w:pPr>
        <w:pStyle w:val="PargrafodaLista"/>
        <w:numPr>
          <w:ilvl w:val="0"/>
          <w:numId w:val="15"/>
        </w:numPr>
        <w:spacing w:after="0" w:line="360" w:lineRule="auto"/>
        <w:jc w:val="both"/>
        <w:rPr>
          <w:rFonts w:ascii="Arial" w:hAnsi="Arial" w:cs="Arial"/>
          <w:sz w:val="24"/>
          <w:szCs w:val="24"/>
        </w:rPr>
      </w:pPr>
      <w:r w:rsidRPr="00095A63">
        <w:rPr>
          <w:rFonts w:ascii="Arial" w:hAnsi="Arial" w:cs="Arial"/>
          <w:sz w:val="24"/>
          <w:szCs w:val="24"/>
        </w:rPr>
        <w:t xml:space="preserve">principais descobertas; </w:t>
      </w:r>
    </w:p>
    <w:p w:rsidRPr="00095A63" w:rsidR="00095A63" w:rsidP="00095A63" w:rsidRDefault="00095A63" w14:paraId="48216466" w14:textId="77777777">
      <w:pPr>
        <w:pStyle w:val="PargrafodaLista"/>
        <w:numPr>
          <w:ilvl w:val="0"/>
          <w:numId w:val="15"/>
        </w:numPr>
        <w:spacing w:after="0" w:line="360" w:lineRule="auto"/>
        <w:jc w:val="both"/>
        <w:rPr>
          <w:rFonts w:ascii="Arial" w:hAnsi="Arial" w:cs="Arial"/>
          <w:sz w:val="24"/>
          <w:szCs w:val="24"/>
        </w:rPr>
      </w:pPr>
      <w:r w:rsidRPr="00095A63">
        <w:rPr>
          <w:rFonts w:ascii="Arial" w:hAnsi="Arial" w:cs="Arial"/>
          <w:sz w:val="24"/>
          <w:szCs w:val="24"/>
        </w:rPr>
        <w:t>retornos a etapas anteriores.</w:t>
      </w:r>
    </w:p>
    <w:p w:rsidRPr="00095A63" w:rsidR="00095A63" w:rsidP="00095A63" w:rsidRDefault="00095A63" w14:paraId="601E1772" w14:textId="3EDA67F9">
      <w:pPr>
        <w:spacing w:after="0" w:line="360" w:lineRule="auto"/>
        <w:ind w:left="360" w:firstLine="708"/>
        <w:rPr>
          <w:rFonts w:ascii="Arial" w:hAnsi="Arial" w:cs="Arial"/>
          <w:sz w:val="24"/>
          <w:szCs w:val="24"/>
        </w:rPr>
      </w:pPr>
    </w:p>
    <w:p w:rsidR="00095A63" w:rsidP="0024564C" w:rsidRDefault="0024564C" w14:paraId="7F9B46E0" w14:textId="5F71C74F">
      <w:pPr>
        <w:spacing w:after="0" w:line="360" w:lineRule="auto"/>
        <w:ind w:left="360" w:firstLine="708"/>
        <w:jc w:val="both"/>
        <w:rPr>
          <w:rFonts w:ascii="Arial" w:hAnsi="Arial" w:cs="Arial"/>
          <w:sz w:val="24"/>
          <w:szCs w:val="24"/>
        </w:rPr>
      </w:pPr>
      <w:r w:rsidRPr="0024564C">
        <w:rPr>
          <w:rFonts w:ascii="Arial" w:hAnsi="Arial" w:cs="Arial"/>
          <w:sz w:val="24"/>
          <w:szCs w:val="24"/>
        </w:rPr>
        <w:t xml:space="preserve">Na representação proposta, identificar quais etapas estão associadas aos elementos do workflow ERP (explore, refine e </w:t>
      </w:r>
      <w:proofErr w:type="spellStart"/>
      <w:r w:rsidRPr="0024564C">
        <w:rPr>
          <w:rFonts w:ascii="Arial" w:hAnsi="Arial" w:cs="Arial"/>
          <w:sz w:val="24"/>
          <w:szCs w:val="24"/>
        </w:rPr>
        <w:t>produce</w:t>
      </w:r>
      <w:proofErr w:type="spellEnd"/>
      <w:r w:rsidRPr="0024564C">
        <w:rPr>
          <w:rFonts w:ascii="Arial" w:hAnsi="Arial" w:cs="Arial"/>
          <w:sz w:val="24"/>
          <w:szCs w:val="24"/>
        </w:rPr>
        <w:t>).</w:t>
      </w:r>
    </w:p>
    <w:p w:rsidR="00650C60" w:rsidRDefault="00650C60" w14:paraId="2AF809ED" w14:textId="6D23361C">
      <w:pPr>
        <w:rPr>
          <w:rFonts w:ascii="Arial" w:hAnsi="Arial" w:cs="Arial"/>
          <w:sz w:val="24"/>
          <w:szCs w:val="24"/>
        </w:rPr>
      </w:pPr>
      <w:r>
        <w:rPr>
          <w:rFonts w:ascii="Arial" w:hAnsi="Arial" w:cs="Arial"/>
          <w:sz w:val="24"/>
          <w:szCs w:val="24"/>
        </w:rPr>
        <w:br w:type="page"/>
      </w:r>
    </w:p>
    <w:p w:rsidR="00650C60" w:rsidP="00650C60" w:rsidRDefault="00650C60" w14:paraId="3A03593C" w14:textId="734A72A9">
      <w:pPr>
        <w:pStyle w:val="PargrafodaLista"/>
        <w:numPr>
          <w:ilvl w:val="0"/>
          <w:numId w:val="10"/>
        </w:numPr>
        <w:spacing w:after="0" w:line="360" w:lineRule="auto"/>
        <w:rPr>
          <w:rFonts w:ascii="Arial" w:hAnsi="Arial" w:cs="Arial"/>
          <w:b/>
          <w:bCs/>
          <w:sz w:val="24"/>
          <w:szCs w:val="24"/>
        </w:rPr>
      </w:pPr>
      <w:r w:rsidRPr="00650C60">
        <w:rPr>
          <w:rFonts w:ascii="Arial" w:hAnsi="Arial" w:cs="Arial"/>
          <w:b/>
          <w:bCs/>
          <w:sz w:val="24"/>
          <w:szCs w:val="24"/>
        </w:rPr>
        <w:lastRenderedPageBreak/>
        <w:t>RELAÇÃO COM O ARTIGO</w:t>
      </w:r>
    </w:p>
    <w:p w:rsidR="00650C60" w:rsidP="00650C60" w:rsidRDefault="00650C60" w14:paraId="0A1DA71F" w14:textId="77777777">
      <w:pPr>
        <w:pStyle w:val="PargrafodaLista"/>
        <w:spacing w:after="0" w:line="360" w:lineRule="auto"/>
        <w:ind w:left="1068"/>
        <w:rPr>
          <w:rFonts w:ascii="Arial" w:hAnsi="Arial" w:cs="Arial"/>
          <w:b/>
          <w:bCs/>
          <w:sz w:val="24"/>
          <w:szCs w:val="24"/>
        </w:rPr>
      </w:pPr>
    </w:p>
    <w:tbl>
      <w:tblPr>
        <w:tblStyle w:val="Tabelacomgrade"/>
        <w:tblW w:w="0" w:type="auto"/>
        <w:jc w:val="center"/>
        <w:tblLook w:val="04A0" w:firstRow="1" w:lastRow="0" w:firstColumn="1" w:lastColumn="0" w:noHBand="0" w:noVBand="1"/>
      </w:tblPr>
      <w:tblGrid>
        <w:gridCol w:w="5382"/>
        <w:gridCol w:w="2024"/>
      </w:tblGrid>
      <w:tr w:rsidRPr="00650C60" w:rsidR="00650C60" w:rsidTr="00ED3B20" w14:paraId="1E847563" w14:textId="77777777">
        <w:trPr>
          <w:jc w:val="center"/>
        </w:trPr>
        <w:tc>
          <w:tcPr>
            <w:tcW w:w="5382" w:type="dxa"/>
            <w:hideMark/>
          </w:tcPr>
          <w:p w:rsidRPr="00650C60" w:rsidR="00650C60" w:rsidP="00650C60" w:rsidRDefault="00650C60" w14:paraId="72BE4DBC" w14:textId="77777777">
            <w:pPr>
              <w:jc w:val="center"/>
              <w:rPr>
                <w:rFonts w:ascii="Arial" w:hAnsi="Arial" w:eastAsia="Times New Roman" w:cs="Arial"/>
                <w:b/>
                <w:bCs/>
                <w:sz w:val="20"/>
                <w:szCs w:val="20"/>
                <w:lang w:eastAsia="pt-BR"/>
              </w:rPr>
            </w:pPr>
            <w:r w:rsidRPr="00650C60">
              <w:rPr>
                <w:rFonts w:ascii="Arial" w:hAnsi="Arial" w:eastAsia="Times New Roman" w:cs="Arial"/>
                <w:b/>
                <w:bCs/>
                <w:sz w:val="20"/>
                <w:szCs w:val="20"/>
                <w:lang w:eastAsia="pt-BR"/>
              </w:rPr>
              <w:t>Questão</w:t>
            </w:r>
          </w:p>
        </w:tc>
        <w:tc>
          <w:tcPr>
            <w:tcW w:w="2024" w:type="dxa"/>
            <w:hideMark/>
          </w:tcPr>
          <w:p w:rsidRPr="00650C60" w:rsidR="00650C60" w:rsidP="00650C60" w:rsidRDefault="00650C60" w14:paraId="09B9231B" w14:textId="77777777">
            <w:pPr>
              <w:jc w:val="center"/>
              <w:rPr>
                <w:rFonts w:ascii="Arial" w:hAnsi="Arial" w:eastAsia="Times New Roman" w:cs="Arial"/>
                <w:b/>
                <w:bCs/>
                <w:sz w:val="20"/>
                <w:szCs w:val="20"/>
                <w:lang w:eastAsia="pt-BR"/>
              </w:rPr>
            </w:pPr>
            <w:r w:rsidRPr="00650C60">
              <w:rPr>
                <w:rFonts w:ascii="Arial" w:hAnsi="Arial" w:eastAsia="Times New Roman" w:cs="Arial"/>
                <w:b/>
                <w:bCs/>
                <w:sz w:val="20"/>
                <w:szCs w:val="20"/>
                <w:lang w:eastAsia="pt-BR"/>
              </w:rPr>
              <w:t>Resposta</w:t>
            </w:r>
          </w:p>
        </w:tc>
      </w:tr>
      <w:tr w:rsidRPr="00650C60" w:rsidR="00650C60" w:rsidTr="00ED3B20" w14:paraId="2DC3D098" w14:textId="77777777">
        <w:trPr>
          <w:jc w:val="center"/>
        </w:trPr>
        <w:tc>
          <w:tcPr>
            <w:tcW w:w="5382" w:type="dxa"/>
            <w:hideMark/>
          </w:tcPr>
          <w:p w:rsidRPr="00650C60" w:rsidR="00650C60" w:rsidP="00650C60" w:rsidRDefault="00650C60" w14:paraId="5A9821BE" w14:textId="77777777">
            <w:pPr>
              <w:rPr>
                <w:rFonts w:ascii="Arial" w:hAnsi="Arial" w:eastAsia="Times New Roman" w:cs="Arial"/>
                <w:sz w:val="20"/>
                <w:szCs w:val="20"/>
                <w:lang w:eastAsia="pt-BR"/>
              </w:rPr>
            </w:pPr>
            <w:r w:rsidRPr="00650C60">
              <w:rPr>
                <w:rFonts w:ascii="Arial" w:hAnsi="Arial" w:eastAsia="Times New Roman" w:cs="Arial"/>
                <w:sz w:val="20"/>
                <w:szCs w:val="20"/>
                <w:lang w:eastAsia="pt-BR"/>
              </w:rPr>
              <w:t>A pergunta de investigação permanece adequada?</w:t>
            </w:r>
          </w:p>
        </w:tc>
        <w:tc>
          <w:tcPr>
            <w:tcW w:w="2024" w:type="dxa"/>
            <w:hideMark/>
          </w:tcPr>
          <w:p>
            <w:r/>
            <w:r>
              <w:rPr>
                <w:b w:val="0"/>
                <w:sz w:val="18"/>
              </w:rPr>
              <w:t>Depende do recorte adotado pelo grupo, e a EDA impõe duas restrições concretas. Perguntas sobre PERFIL (quem se acidenta, em que setor, com que lesão, com que desfecho) permanecem plenamente viáveis. Perguntas sobre EVOLUÇÃO TEMPORAL exigem recorte explícito de anos completos. Perguntas sobre a LOCALIZAÇÃO DO ACIDENTE precisam ser reformuladas para localização do empregador — a variável do acidente não é utilizável.</w:t>
            </w:r>
          </w:p>
        </w:tc>
      </w:tr>
      <w:tr w:rsidRPr="00650C60" w:rsidR="00650C60" w:rsidTr="00ED3B20" w14:paraId="21D1E386" w14:textId="77777777">
        <w:trPr>
          <w:jc w:val="center"/>
        </w:trPr>
        <w:tc>
          <w:tcPr>
            <w:tcW w:w="5382" w:type="dxa"/>
            <w:hideMark/>
          </w:tcPr>
          <w:p w:rsidRPr="00650C60" w:rsidR="00650C60" w:rsidP="00650C60" w:rsidRDefault="00650C60" w14:paraId="4C2626DE" w14:textId="77777777">
            <w:pPr>
              <w:rPr>
                <w:rFonts w:ascii="Arial" w:hAnsi="Arial" w:eastAsia="Times New Roman" w:cs="Arial"/>
                <w:sz w:val="20"/>
                <w:szCs w:val="20"/>
                <w:lang w:eastAsia="pt-BR"/>
              </w:rPr>
            </w:pPr>
            <w:r w:rsidRPr="00650C60">
              <w:rPr>
                <w:rFonts w:ascii="Arial" w:hAnsi="Arial" w:eastAsia="Times New Roman" w:cs="Arial"/>
                <w:sz w:val="20"/>
                <w:szCs w:val="20"/>
                <w:lang w:eastAsia="pt-BR"/>
              </w:rPr>
              <w:t>Quais variáveis devem ser priorizadas?</w:t>
            </w:r>
          </w:p>
        </w:tc>
        <w:tc>
          <w:tcPr>
            <w:tcW w:w="2024" w:type="dxa"/>
            <w:hideMark/>
          </w:tcPr>
          <w:p>
            <w:r/>
            <w:r>
              <w:rPr>
                <w:b w:val="0"/>
                <w:sz w:val="18"/>
              </w:rPr>
              <w:t>As de melhor preenchimento e maior poder discriminante: tipo_acidente, indica_obito, sexo, idade_acidente, cnae_codigo, cbo_codigo, cid10_codigo, natureza_lesao, parte_corpo_atingida e uf_empregador_sigla. Devem ser evitadas: uf_acidente (corrompida), data_despacho_beneficio (100% nula), data_afastamento (79,6% nula) e todas as colunas de DESCRIÇÃO, substituídas pelos códigos correspondentes.</w:t>
            </w:r>
          </w:p>
        </w:tc>
      </w:tr>
      <w:tr w:rsidRPr="00650C60" w:rsidR="00650C60" w:rsidTr="00ED3B20" w14:paraId="07E34283" w14:textId="77777777">
        <w:trPr>
          <w:jc w:val="center"/>
        </w:trPr>
        <w:tc>
          <w:tcPr>
            <w:tcW w:w="5382" w:type="dxa"/>
            <w:hideMark/>
          </w:tcPr>
          <w:p w:rsidRPr="00650C60" w:rsidR="00650C60" w:rsidP="00650C60" w:rsidRDefault="00650C60" w14:paraId="0C124D65" w14:textId="77777777">
            <w:pPr>
              <w:rPr>
                <w:rFonts w:ascii="Arial" w:hAnsi="Arial" w:eastAsia="Times New Roman" w:cs="Arial"/>
                <w:sz w:val="20"/>
                <w:szCs w:val="20"/>
                <w:lang w:eastAsia="pt-BR"/>
              </w:rPr>
            </w:pPr>
            <w:r w:rsidRPr="00650C60">
              <w:rPr>
                <w:rFonts w:ascii="Arial" w:hAnsi="Arial" w:eastAsia="Times New Roman" w:cs="Arial"/>
                <w:sz w:val="20"/>
                <w:szCs w:val="20"/>
                <w:lang w:eastAsia="pt-BR"/>
              </w:rPr>
              <w:t>Quais limitações dos dados devem ser consideradas?</w:t>
            </w:r>
          </w:p>
        </w:tc>
        <w:tc>
          <w:tcPr>
            <w:tcW w:w="2024" w:type="dxa"/>
            <w:hideMark/>
          </w:tcPr>
          <w:p>
            <w:r/>
            <w:r>
              <w:rPr>
                <w:b w:val="0"/>
                <w:sz w:val="18"/>
              </w:rPr>
              <w:t>Cinco, em ordem de impacto: (1) sobreposição entre arquivos, que superconta 11,7% se ignorada; (2) cobertura temporal irregular, com lacuna em jan–fev/2022 e meses recentes incompletos; (3) UF do acidente irrecuperável; (4) ausência de denominador de exposição, que impede calcular risco e permite apenas proporções entre acidentes comunicados; (5) subnotificação — a base só contém acidentes COMUNICADOS, e a propensão a comunicar varia entre setores e portes de empresa.</w:t>
            </w:r>
          </w:p>
        </w:tc>
      </w:tr>
      <w:tr w:rsidRPr="00650C60" w:rsidR="00650C60" w:rsidTr="00ED3B20" w14:paraId="41B77543" w14:textId="77777777">
        <w:trPr>
          <w:jc w:val="center"/>
        </w:trPr>
        <w:tc>
          <w:tcPr>
            <w:tcW w:w="5382" w:type="dxa"/>
            <w:hideMark/>
          </w:tcPr>
          <w:p w:rsidRPr="00650C60" w:rsidR="00650C60" w:rsidP="00650C60" w:rsidRDefault="00650C60" w14:paraId="347B3DE8" w14:textId="77777777">
            <w:pPr>
              <w:rPr>
                <w:rFonts w:ascii="Arial" w:hAnsi="Arial" w:eastAsia="Times New Roman" w:cs="Arial"/>
                <w:sz w:val="20"/>
                <w:szCs w:val="20"/>
                <w:lang w:eastAsia="pt-BR"/>
              </w:rPr>
            </w:pPr>
            <w:r w:rsidRPr="00650C60">
              <w:rPr>
                <w:rFonts w:ascii="Arial" w:hAnsi="Arial" w:eastAsia="Times New Roman" w:cs="Arial"/>
                <w:sz w:val="20"/>
                <w:szCs w:val="20"/>
                <w:lang w:eastAsia="pt-BR"/>
              </w:rPr>
              <w:t>Há necessidade de dados complementares?</w:t>
            </w:r>
          </w:p>
        </w:tc>
        <w:tc>
          <w:tcPr>
            <w:tcW w:w="2024" w:type="dxa"/>
            <w:hideMark/>
          </w:tcPr>
          <w:p>
            <w:r/>
            <w:r>
              <w:rPr>
                <w:b w:val="0"/>
                <w:sz w:val="18"/>
              </w:rPr>
              <w:t>Sim, e é a necessidade mais relevante identificada. Sem um denominador de exposição — número de vínculos por setor e UF, da RAIS ou do CAGED — o trabalho fica restrito a descrever a composição dos acidentes, sem poder afirmar onde o risco é maior. São dados públicos e articuláveis pelo código CNAE, já disponível na base. Tabelas auxiliares de CNAE, CBO e CID-10 também são necessárias, para recuperar as descrições que chegam truncadas.</w:t>
            </w:r>
          </w:p>
        </w:tc>
      </w:tr>
      <w:tr w:rsidRPr="00650C60" w:rsidR="00650C60" w:rsidTr="00ED3B20" w14:paraId="4CA8CA2B" w14:textId="77777777">
        <w:trPr>
          <w:jc w:val="center"/>
        </w:trPr>
        <w:tc>
          <w:tcPr>
            <w:tcW w:w="5382" w:type="dxa"/>
            <w:hideMark/>
          </w:tcPr>
          <w:p w:rsidRPr="00650C60" w:rsidR="00650C60" w:rsidP="00650C60" w:rsidRDefault="00650C60" w14:paraId="361A5080" w14:textId="77777777">
            <w:pPr>
              <w:rPr>
                <w:rFonts w:ascii="Arial" w:hAnsi="Arial" w:eastAsia="Times New Roman" w:cs="Arial"/>
                <w:sz w:val="20"/>
                <w:szCs w:val="20"/>
                <w:lang w:eastAsia="pt-BR"/>
              </w:rPr>
            </w:pPr>
            <w:r w:rsidRPr="00650C60">
              <w:rPr>
                <w:rFonts w:ascii="Arial" w:hAnsi="Arial" w:eastAsia="Times New Roman" w:cs="Arial"/>
                <w:sz w:val="20"/>
                <w:szCs w:val="20"/>
                <w:lang w:eastAsia="pt-BR"/>
              </w:rPr>
              <w:t>Que análise deverá ser aprofundada?</w:t>
            </w:r>
          </w:p>
        </w:tc>
        <w:tc>
          <w:tcPr>
            <w:tcW w:w="2024" w:type="dxa"/>
            <w:hideMark/>
          </w:tcPr>
          <w:p>
            <w:r/>
            <w:r>
              <w:rPr>
                <w:b w:val="0"/>
                <w:sz w:val="18"/>
              </w:rPr>
              <w:t>O cruzamento entre tipo de acidente e setor econômico, para testar se a maior letalidade do trajeto persiste quando o setor é controlado ou se é produzida pelo transporte rodoviário. É a análise que decide entre duas explicações concorrentes para o principal achado da EDA.</w:t>
            </w:r>
          </w:p>
        </w:tc>
      </w:tr>
      <w:tr w:rsidRPr="00650C60" w:rsidR="00650C60" w:rsidTr="00ED3B20" w14:paraId="3B1D466A" w14:textId="77777777">
        <w:trPr>
          <w:jc w:val="center"/>
        </w:trPr>
        <w:tc>
          <w:tcPr>
            <w:tcW w:w="5382" w:type="dxa"/>
            <w:hideMark/>
          </w:tcPr>
          <w:p w:rsidRPr="00650C60" w:rsidR="00650C60" w:rsidP="00650C60" w:rsidRDefault="00650C60" w14:paraId="0260AD8A" w14:textId="77777777">
            <w:pPr>
              <w:rPr>
                <w:rFonts w:ascii="Arial" w:hAnsi="Arial" w:eastAsia="Times New Roman" w:cs="Arial"/>
                <w:sz w:val="20"/>
                <w:szCs w:val="20"/>
                <w:lang w:eastAsia="pt-BR"/>
              </w:rPr>
            </w:pPr>
            <w:r w:rsidRPr="00650C60">
              <w:rPr>
                <w:rFonts w:ascii="Arial" w:hAnsi="Arial" w:eastAsia="Times New Roman" w:cs="Arial"/>
                <w:sz w:val="20"/>
                <w:szCs w:val="20"/>
                <w:lang w:eastAsia="pt-BR"/>
              </w:rPr>
              <w:t>Qual será o próximo passo do artigo?</w:t>
            </w:r>
          </w:p>
        </w:tc>
        <w:tc>
          <w:tcPr>
            <w:tcW w:w="2024" w:type="dxa"/>
            <w:hideMark/>
          </w:tcPr>
          <w:p>
            <w:r/>
            <w:r>
              <w:rPr>
                <w:b w:val="0"/>
                <w:sz w:val="18"/>
              </w:rPr>
              <w:t>Fixar o recorte — período de anos completos, com ou sem denominador externo — e, a partir dele, executar o cruzamento tipo × setor. A infraestrutura já está pronta: o pipeline reproduz a base consolidada em cerca de dois minutos a partir dos arquivos originais, e o relatório descritivo é regerado por um comando.</w:t>
            </w:r>
          </w:p>
        </w:tc>
      </w:tr>
    </w:tbl>
    <w:p w:rsidR="00650C60" w:rsidP="00650C60" w:rsidRDefault="00650C60" w14:paraId="29A85F7A" w14:textId="729A3210">
      <w:pPr>
        <w:spacing w:after="0" w:line="360" w:lineRule="auto"/>
        <w:rPr>
          <w:rFonts w:ascii="Arial" w:hAnsi="Arial" w:cs="Arial"/>
          <w:b/>
          <w:bCs/>
          <w:sz w:val="24"/>
          <w:szCs w:val="24"/>
        </w:rPr>
      </w:pPr>
    </w:p>
    <w:p w:rsidR="000214B4" w:rsidP="000214B4" w:rsidRDefault="000214B4" w14:paraId="222A4867" w14:textId="28FBCAC9">
      <w:pPr>
        <w:pStyle w:val="PargrafodaLista"/>
        <w:numPr>
          <w:ilvl w:val="0"/>
          <w:numId w:val="10"/>
        </w:numPr>
        <w:spacing w:after="0" w:line="360" w:lineRule="auto"/>
        <w:rPr>
          <w:rFonts w:ascii="Arial" w:hAnsi="Arial" w:cs="Arial"/>
          <w:b/>
          <w:bCs/>
          <w:sz w:val="24"/>
          <w:szCs w:val="24"/>
        </w:rPr>
      </w:pPr>
      <w:r w:rsidRPr="000214B4">
        <w:rPr>
          <w:rFonts w:ascii="Arial" w:hAnsi="Arial" w:cs="Arial"/>
          <w:b/>
          <w:bCs/>
          <w:sz w:val="24"/>
          <w:szCs w:val="24"/>
        </w:rPr>
        <w:t>FERRAMENTAS UTILIZADAS</w:t>
      </w:r>
    </w:p>
    <w:p w:rsidR="000214B4" w:rsidP="000214B4" w:rsidRDefault="000214B4" w14:paraId="5E9F3E29" w14:textId="43762CA6">
      <w:pPr>
        <w:spacing w:after="0" w:line="360" w:lineRule="auto"/>
        <w:rPr>
          <w:rFonts w:ascii="Arial" w:hAnsi="Arial" w:cs="Arial"/>
          <w:b/>
          <w:bCs/>
          <w:sz w:val="24"/>
          <w:szCs w:val="24"/>
        </w:rPr>
      </w:pPr>
    </w:p>
    <w:tbl>
      <w:tblPr>
        <w:tblStyle w:val="Tabelacomgrade"/>
        <w:tblW w:w="0" w:type="auto"/>
        <w:jc w:val="center"/>
        <w:tblLook w:val="04A0" w:firstRow="1" w:lastRow="0" w:firstColumn="1" w:lastColumn="0" w:noHBand="0" w:noVBand="1"/>
      </w:tblPr>
      <w:tblGrid>
        <w:gridCol w:w="3698"/>
        <w:gridCol w:w="1417"/>
        <w:gridCol w:w="2251"/>
      </w:tblGrid>
      <w:tr w:rsidRPr="000214B4" w:rsidR="000214B4" w:rsidTr="00876F41" w14:paraId="3D010D79" w14:textId="77777777">
        <w:trPr>
          <w:jc w:val="center"/>
        </w:trPr>
        <w:tc>
          <w:tcPr>
            <w:tcW w:w="3698" w:type="dxa"/>
            <w:hideMark/>
          </w:tcPr>
          <w:p w:rsidRPr="000214B4" w:rsidR="000214B4" w:rsidP="000214B4" w:rsidRDefault="000214B4" w14:paraId="76705309" w14:textId="77777777">
            <w:pPr>
              <w:jc w:val="center"/>
              <w:rPr>
                <w:rFonts w:ascii="Arial" w:hAnsi="Arial" w:eastAsia="Times New Roman" w:cs="Arial"/>
                <w:b/>
                <w:bCs/>
                <w:sz w:val="20"/>
                <w:szCs w:val="20"/>
                <w:lang w:eastAsia="pt-BR"/>
              </w:rPr>
            </w:pPr>
            <w:r w:rsidRPr="000214B4">
              <w:rPr>
                <w:rFonts w:ascii="Arial" w:hAnsi="Arial" w:eastAsia="Times New Roman" w:cs="Arial"/>
                <w:b/>
                <w:bCs/>
                <w:sz w:val="20"/>
                <w:szCs w:val="20"/>
                <w:lang w:eastAsia="pt-BR"/>
              </w:rPr>
              <w:t>Linguagem</w:t>
            </w:r>
          </w:p>
        </w:tc>
        <w:tc>
          <w:tcPr>
            <w:tcW w:w="0" w:type="auto"/>
            <w:hideMark/>
          </w:tcPr>
          <w:p w:rsidRPr="000214B4" w:rsidR="000214B4" w:rsidP="000214B4" w:rsidRDefault="000214B4" w14:paraId="4E2E70D0" w14:textId="77777777">
            <w:pPr>
              <w:jc w:val="center"/>
              <w:rPr>
                <w:rFonts w:ascii="Arial" w:hAnsi="Arial" w:eastAsia="Times New Roman" w:cs="Arial"/>
                <w:b/>
                <w:bCs/>
                <w:sz w:val="20"/>
                <w:szCs w:val="20"/>
                <w:lang w:eastAsia="pt-BR"/>
              </w:rPr>
            </w:pPr>
            <w:r w:rsidRPr="000214B4">
              <w:rPr>
                <w:rFonts w:ascii="Arial" w:hAnsi="Arial" w:eastAsia="Times New Roman" w:cs="Arial"/>
                <w:b/>
                <w:bCs/>
                <w:sz w:val="20"/>
                <w:szCs w:val="20"/>
                <w:lang w:eastAsia="pt-BR"/>
              </w:rPr>
              <w:t>Ferramentas</w:t>
            </w:r>
          </w:p>
        </w:tc>
        <w:tc>
          <w:tcPr>
            <w:tcW w:w="2251" w:type="dxa"/>
            <w:hideMark/>
          </w:tcPr>
          <w:p w:rsidRPr="000214B4" w:rsidR="000214B4" w:rsidP="000214B4" w:rsidRDefault="000214B4" w14:paraId="66AAAECE" w14:textId="77777777">
            <w:pPr>
              <w:jc w:val="center"/>
              <w:rPr>
                <w:rFonts w:ascii="Arial" w:hAnsi="Arial" w:eastAsia="Times New Roman" w:cs="Arial"/>
                <w:b/>
                <w:bCs/>
                <w:sz w:val="20"/>
                <w:szCs w:val="20"/>
                <w:lang w:eastAsia="pt-BR"/>
              </w:rPr>
            </w:pPr>
            <w:r w:rsidRPr="000214B4">
              <w:rPr>
                <w:rFonts w:ascii="Arial" w:hAnsi="Arial" w:eastAsia="Times New Roman" w:cs="Arial"/>
                <w:b/>
                <w:bCs/>
                <w:sz w:val="20"/>
                <w:szCs w:val="20"/>
                <w:lang w:eastAsia="pt-BR"/>
              </w:rPr>
              <w:t>Finalidade</w:t>
            </w:r>
          </w:p>
        </w:tc>
      </w:tr>
      <w:tr w:rsidRPr="000214B4" w:rsidR="000214B4" w:rsidTr="00876F41" w14:paraId="567889AB" w14:textId="77777777">
        <w:trPr>
          <w:jc w:val="center"/>
        </w:trPr>
        <w:tc>
          <w:tcPr>
            <w:tcW w:w="3698" w:type="dxa"/>
            <w:hideMark/>
          </w:tcPr>
          <w:p>
            <w:r/>
            <w:r>
              <w:rPr>
                <w:b/>
                <w:sz w:val="18"/>
              </w:rPr>
              <w:t>Python 3.11</w:t>
            </w:r>
          </w:p>
        </w:tc>
        <w:tc>
          <w:tcPr>
            <w:tcW w:w="0" w:type="auto"/>
            <w:hideMark/>
          </w:tcPr>
          <w:p>
            <w:r/>
            <w:r>
              <w:rPr>
                <w:b w:val="0"/>
                <w:sz w:val="18"/>
              </w:rPr>
              <w:t>pandas, PyArrow</w:t>
            </w:r>
          </w:p>
        </w:tc>
        <w:tc>
          <w:tcPr>
            <w:tcW w:w="2251" w:type="dxa"/>
            <w:hideMark/>
          </w:tcPr>
          <w:p>
            <w:r/>
            <w:r>
              <w:rPr>
                <w:b w:val="0"/>
                <w:sz w:val="18"/>
              </w:rPr>
              <w:t>Leitura, normalização e consolidação dos 61 arquivos; base final em Parquet, gravada em fluxo para não exigir os 3,9 milhões de registros em memória.</w:t>
            </w:r>
          </w:p>
        </w:tc>
      </w:tr>
      <w:tr w:rsidRPr="000214B4" w:rsidR="000214B4" w:rsidTr="00876F41" w14:paraId="534C7A97" w14:textId="77777777">
        <w:trPr>
          <w:jc w:val="center"/>
        </w:trPr>
        <w:tc>
          <w:tcPr>
            <w:tcW w:w="3698" w:type="dxa"/>
          </w:tcPr>
          <w:p>
            <w:r/>
            <w:r>
              <w:rPr>
                <w:b/>
                <w:sz w:val="18"/>
              </w:rPr>
              <w:t>Python</w:t>
            </w:r>
          </w:p>
        </w:tc>
        <w:tc>
          <w:tcPr>
            <w:tcW w:w="0" w:type="auto"/>
          </w:tcPr>
          <w:p>
            <w:r/>
            <w:r>
              <w:rPr>
                <w:b w:val="0"/>
                <w:sz w:val="18"/>
              </w:rPr>
              <w:t>matplotlib</w:t>
            </w:r>
          </w:p>
        </w:tc>
        <w:tc>
          <w:tcPr>
            <w:tcW w:w="2251" w:type="dxa"/>
          </w:tcPr>
          <w:p>
            <w:r/>
            <w:r>
              <w:rPr>
                <w:b w:val="0"/>
                <w:sz w:val="18"/>
              </w:rPr>
              <w:t>Figuras da análise exploratória, com paleta categórica validada para daltonismo.</w:t>
            </w:r>
          </w:p>
        </w:tc>
      </w:tr>
      <w:tr w:rsidRPr="000214B4" w:rsidR="000214B4" w:rsidTr="00876F41" w14:paraId="65D23F00" w14:textId="77777777">
        <w:trPr>
          <w:jc w:val="center"/>
        </w:trPr>
        <w:tc>
          <w:tcPr>
            <w:tcW w:w="3698" w:type="dxa"/>
          </w:tcPr>
          <w:p>
            <w:r/>
            <w:r>
              <w:rPr>
                <w:b/>
                <w:sz w:val="18"/>
              </w:rPr>
              <w:t>Python</w:t>
            </w:r>
          </w:p>
        </w:tc>
        <w:tc>
          <w:tcPr>
            <w:tcW w:w="0" w:type="auto"/>
          </w:tcPr>
          <w:p>
            <w:r/>
            <w:r>
              <w:rPr>
                <w:b w:val="0"/>
                <w:sz w:val="18"/>
              </w:rPr>
              <w:t>pytest, ruff</w:t>
            </w:r>
          </w:p>
        </w:tc>
        <w:tc>
          <w:tcPr>
            <w:tcW w:w="2251" w:type="dxa"/>
          </w:tcPr>
          <w:p>
            <w:r/>
            <w:r>
              <w:rPr>
                <w:b w:val="0"/>
                <w:sz w:val="18"/>
              </w:rPr>
              <w:t>114 testes automatizados e verificação de estilo. Os testes usam CSVs em miniatura, reproduzindo os cinco leiautes reais, e rodam sem depender dos dados.</w:t>
            </w:r>
          </w:p>
        </w:tc>
      </w:tr>
      <w:tr w:rsidRPr="000214B4" w:rsidR="000214B4" w:rsidTr="00876F41" w14:paraId="25ED9D81" w14:textId="77777777">
        <w:trPr>
          <w:jc w:val="center"/>
        </w:trPr>
        <w:tc>
          <w:tcPr>
            <w:tcW w:w="3698" w:type="dxa"/>
            <w:hideMark/>
          </w:tcPr>
          <w:p>
            <w:r/>
            <w:r>
              <w:rPr>
                <w:b/>
                <w:sz w:val="18"/>
              </w:rPr>
              <w:t>Shell / Cloud</w:t>
            </w:r>
          </w:p>
        </w:tc>
        <w:tc>
          <w:tcPr>
            <w:tcW w:w="0" w:type="auto"/>
            <w:hideMark/>
          </w:tcPr>
          <w:p>
            <w:r/>
            <w:r>
              <w:rPr>
                <w:b w:val="0"/>
                <w:sz w:val="18"/>
              </w:rPr>
              <w:t>Google Cloud Storage (API pública), urllib</w:t>
            </w:r>
          </w:p>
        </w:tc>
        <w:tc>
          <w:tcPr>
            <w:tcW w:w="2251" w:type="dxa"/>
            <w:hideMark/>
          </w:tcPr>
          <w:p>
            <w:r/>
            <w:r>
              <w:rPr>
                <w:b w:val="0"/>
                <w:sz w:val="18"/>
              </w:rPr>
              <w:t>Sincronização dos arquivos do bucket, com repetição em caso de queda e conferência do tamanho recebido contra o anunciado.</w:t>
            </w:r>
          </w:p>
        </w:tc>
      </w:tr>
      <w:tr w:rsidRPr="000214B4" w:rsidR="000214B4" w:rsidTr="00876F41" w14:paraId="4E45E5E5" w14:textId="77777777">
        <w:trPr>
          <w:jc w:val="center"/>
        </w:trPr>
        <w:tc>
          <w:tcPr>
            <w:tcW w:w="3698" w:type="dxa"/>
            <w:hideMark/>
          </w:tcPr>
          <w:p>
            <w:r/>
            <w:r>
              <w:rPr>
                <w:b/>
                <w:sz w:val="18"/>
              </w:rPr>
              <w:t>Git / GitHub</w:t>
            </w:r>
          </w:p>
        </w:tc>
        <w:tc>
          <w:tcPr>
            <w:tcW w:w="0" w:type="auto"/>
            <w:hideMark/>
          </w:tcPr>
          <w:p>
            <w:r/>
            <w:r>
              <w:rPr>
                <w:b w:val="0"/>
                <w:sz w:val="18"/>
              </w:rPr>
              <w:t>git</w:t>
            </w:r>
          </w:p>
        </w:tc>
        <w:tc>
          <w:tcPr>
            <w:tcW w:w="2251" w:type="dxa"/>
            <w:hideMark/>
          </w:tcPr>
          <w:p>
            <w:r/>
            <w:r>
              <w:rPr>
                <w:b w:val="0"/>
                <w:sz w:val="18"/>
              </w:rPr>
              <w:t>Versionamento do código, da documentação e das decisões de limpeza. Os dados não são versionados; o pipeline os reconstrói.</w:t>
            </w:r>
          </w:p>
        </w:tc>
      </w:tr>
      <w:tr w:rsidRPr="000214B4" w:rsidR="000214B4" w:rsidTr="00876F41" w14:paraId="06B5AD03" w14:textId="77777777">
        <w:trPr>
          <w:jc w:val="center"/>
        </w:trPr>
        <w:tc>
          <w:tcPr>
            <w:tcW w:w="3698" w:type="dxa"/>
            <w:hideMark/>
          </w:tcPr>
          <w:p>
            <w:r/>
            <w:r>
              <w:rPr>
                <w:b/>
                <w:sz w:val="18"/>
              </w:rPr>
              <w:t>Documentação</w:t>
            </w:r>
          </w:p>
        </w:tc>
        <w:tc>
          <w:tcPr>
            <w:tcW w:w="0" w:type="auto"/>
            <w:hideMark/>
          </w:tcPr>
          <w:p>
            <w:r/>
            <w:r>
              <w:rPr>
                <w:b w:val="0"/>
                <w:sz w:val="18"/>
              </w:rPr>
              <w:t>Markdown</w:t>
            </w:r>
          </w:p>
        </w:tc>
        <w:tc>
          <w:tcPr>
            <w:tcW w:w="2251" w:type="dxa"/>
            <w:hideMark/>
          </w:tcPr>
          <w:p>
            <w:r/>
            <w:r>
              <w:rPr>
                <w:b w:val="0"/>
                <w:sz w:val="18"/>
              </w:rPr>
              <w:t>Registro das armadilhas dos dados (docs/qualidade-dos-dados.md) e relatório descritivo regerado automaticamente (reports/relatorio-dados.md).</w:t>
            </w:r>
          </w:p>
        </w:tc>
      </w:tr>
    </w:tbl>
    <w:p w:rsidR="00782161" w:rsidP="00782161" w:rsidRDefault="00782161" w14:paraId="2F6E5578" w14:textId="77777777">
      <w:pPr>
        <w:spacing w:after="0" w:line="360" w:lineRule="auto"/>
        <w:ind w:left="708"/>
        <w:rPr>
          <w:rFonts w:ascii="Arial" w:hAnsi="Arial" w:cs="Arial"/>
          <w:b/>
          <w:bCs/>
          <w:sz w:val="24"/>
          <w:szCs w:val="24"/>
        </w:rPr>
      </w:pPr>
    </w:p>
    <w:p w:rsidR="000214B4" w:rsidP="00782161" w:rsidRDefault="00782161" w14:paraId="279BAFC7" w14:textId="2902E15E">
      <w:pPr>
        <w:pStyle w:val="PargrafodaLista"/>
        <w:numPr>
          <w:ilvl w:val="0"/>
          <w:numId w:val="10"/>
        </w:numPr>
        <w:spacing w:after="0" w:line="360" w:lineRule="auto"/>
        <w:rPr>
          <w:rFonts w:ascii="Arial" w:hAnsi="Arial" w:cs="Arial"/>
          <w:b/>
          <w:bCs/>
          <w:sz w:val="24"/>
          <w:szCs w:val="24"/>
        </w:rPr>
      </w:pPr>
      <w:r w:rsidRPr="00782161">
        <w:rPr>
          <w:rFonts w:ascii="Arial" w:hAnsi="Arial" w:cs="Arial"/>
          <w:b/>
          <w:bCs/>
          <w:sz w:val="24"/>
          <w:szCs w:val="24"/>
        </w:rPr>
        <w:t>Apresentação</w:t>
      </w:r>
    </w:p>
    <w:p w:rsidRPr="00782161" w:rsidR="00782161" w:rsidP="00782161" w:rsidRDefault="00782161" w14:paraId="53431A28" w14:textId="77777777">
      <w:pPr>
        <w:spacing w:after="0" w:line="360" w:lineRule="auto"/>
        <w:ind w:left="360" w:firstLine="708"/>
        <w:jc w:val="both"/>
        <w:rPr>
          <w:rFonts w:ascii="Arial" w:hAnsi="Arial" w:cs="Arial"/>
          <w:sz w:val="24"/>
          <w:szCs w:val="24"/>
        </w:rPr>
      </w:pPr>
      <w:r w:rsidRPr="00782161">
        <w:rPr>
          <w:rFonts w:ascii="Arial" w:hAnsi="Arial" w:cs="Arial"/>
          <w:sz w:val="24"/>
          <w:szCs w:val="24"/>
        </w:rPr>
        <w:t>Cada grupo deverá apresentar, em até 7 minutos, o workflow da análise exploratória elaborado no tópico 6.</w:t>
      </w:r>
    </w:p>
    <w:p w:rsidR="00782161" w:rsidP="00782161" w:rsidRDefault="00782161" w14:paraId="504F5A08" w14:textId="40C1E16A">
      <w:pPr>
        <w:spacing w:after="0" w:line="360" w:lineRule="auto"/>
        <w:ind w:left="360" w:firstLine="708"/>
        <w:jc w:val="both"/>
        <w:rPr>
          <w:rFonts w:ascii="Arial" w:hAnsi="Arial" w:cs="Arial"/>
          <w:sz w:val="24"/>
          <w:szCs w:val="24"/>
        </w:rPr>
      </w:pPr>
      <w:r w:rsidRPr="00782161">
        <w:rPr>
          <w:rFonts w:ascii="Arial" w:hAnsi="Arial" w:cs="Arial"/>
          <w:sz w:val="24"/>
          <w:szCs w:val="24"/>
        </w:rPr>
        <w:t>A apresentação deverá utilizar a representação visual produzida pelo grupo e explicar brevemente:</w:t>
      </w:r>
    </w:p>
    <w:p w:rsidRPr="00782161" w:rsidR="00782161" w:rsidP="00782161" w:rsidRDefault="00782161" w14:paraId="68F16C62" w14:textId="77777777">
      <w:pPr>
        <w:spacing w:after="0" w:line="360" w:lineRule="auto"/>
        <w:ind w:left="360" w:firstLine="708"/>
        <w:jc w:val="both"/>
        <w:rPr>
          <w:rFonts w:ascii="Arial" w:hAnsi="Arial" w:cs="Arial"/>
          <w:sz w:val="24"/>
          <w:szCs w:val="24"/>
        </w:rPr>
      </w:pPr>
    </w:p>
    <w:p w:rsidRPr="00782161" w:rsidR="00782161" w:rsidP="00782161" w:rsidRDefault="00782161" w14:paraId="0F3DB528" w14:textId="77777777">
      <w:pPr>
        <w:pStyle w:val="PargrafodaLista"/>
        <w:numPr>
          <w:ilvl w:val="0"/>
          <w:numId w:val="17"/>
        </w:numPr>
        <w:spacing w:after="0" w:line="360" w:lineRule="auto"/>
        <w:jc w:val="both"/>
        <w:rPr>
          <w:rFonts w:ascii="Arial" w:hAnsi="Arial" w:cs="Arial"/>
          <w:sz w:val="24"/>
          <w:szCs w:val="24"/>
        </w:rPr>
      </w:pPr>
      <w:r w:rsidRPr="00782161">
        <w:rPr>
          <w:rFonts w:ascii="Arial" w:hAnsi="Arial" w:cs="Arial"/>
          <w:sz w:val="24"/>
          <w:szCs w:val="24"/>
        </w:rPr>
        <w:t xml:space="preserve">Como a análise começou; </w:t>
      </w:r>
    </w:p>
    <w:p w:rsidRPr="00782161" w:rsidR="00782161" w:rsidP="00782161" w:rsidRDefault="00782161" w14:paraId="4D5B879D" w14:textId="77777777">
      <w:pPr>
        <w:pStyle w:val="PargrafodaLista"/>
        <w:numPr>
          <w:ilvl w:val="0"/>
          <w:numId w:val="17"/>
        </w:numPr>
        <w:spacing w:after="0" w:line="360" w:lineRule="auto"/>
        <w:jc w:val="both"/>
        <w:rPr>
          <w:rFonts w:ascii="Arial" w:hAnsi="Arial" w:cs="Arial"/>
          <w:sz w:val="24"/>
          <w:szCs w:val="24"/>
        </w:rPr>
      </w:pPr>
      <w:r w:rsidRPr="00782161">
        <w:rPr>
          <w:rFonts w:ascii="Arial" w:hAnsi="Arial" w:cs="Arial"/>
          <w:sz w:val="24"/>
          <w:szCs w:val="24"/>
        </w:rPr>
        <w:t xml:space="preserve">O que foi realizado na etapa EXPLORE; </w:t>
      </w:r>
    </w:p>
    <w:p w:rsidRPr="00782161" w:rsidR="00782161" w:rsidP="00782161" w:rsidRDefault="00782161" w14:paraId="4B6E61D5" w14:textId="77777777">
      <w:pPr>
        <w:pStyle w:val="PargrafodaLista"/>
        <w:numPr>
          <w:ilvl w:val="0"/>
          <w:numId w:val="17"/>
        </w:numPr>
        <w:spacing w:after="0" w:line="360" w:lineRule="auto"/>
        <w:jc w:val="both"/>
        <w:rPr>
          <w:rFonts w:ascii="Arial" w:hAnsi="Arial" w:cs="Arial"/>
          <w:sz w:val="24"/>
          <w:szCs w:val="24"/>
        </w:rPr>
      </w:pPr>
      <w:r w:rsidRPr="00782161">
        <w:rPr>
          <w:rFonts w:ascii="Arial" w:hAnsi="Arial" w:cs="Arial"/>
          <w:sz w:val="24"/>
          <w:szCs w:val="24"/>
        </w:rPr>
        <w:t xml:space="preserve">Quais decisões foram tomadas na etapa REFINE; </w:t>
      </w:r>
    </w:p>
    <w:p w:rsidRPr="00782161" w:rsidR="00782161" w:rsidP="00782161" w:rsidRDefault="00782161" w14:paraId="64AC1360" w14:textId="77777777">
      <w:pPr>
        <w:pStyle w:val="PargrafodaLista"/>
        <w:numPr>
          <w:ilvl w:val="0"/>
          <w:numId w:val="17"/>
        </w:numPr>
        <w:spacing w:after="0" w:line="360" w:lineRule="auto"/>
        <w:jc w:val="both"/>
        <w:rPr>
          <w:rFonts w:ascii="Arial" w:hAnsi="Arial" w:cs="Arial"/>
          <w:sz w:val="24"/>
          <w:szCs w:val="24"/>
        </w:rPr>
      </w:pPr>
      <w:r w:rsidRPr="00782161">
        <w:rPr>
          <w:rFonts w:ascii="Arial" w:hAnsi="Arial" w:cs="Arial"/>
          <w:sz w:val="24"/>
          <w:szCs w:val="24"/>
        </w:rPr>
        <w:t xml:space="preserve">O que foi produzido na etapa PRODUCE; </w:t>
      </w:r>
    </w:p>
    <w:p w:rsidRPr="00782161" w:rsidR="00782161" w:rsidP="00782161" w:rsidRDefault="00782161" w14:paraId="38703267" w14:textId="77777777">
      <w:pPr>
        <w:pStyle w:val="PargrafodaLista"/>
        <w:numPr>
          <w:ilvl w:val="0"/>
          <w:numId w:val="17"/>
        </w:numPr>
        <w:spacing w:after="0" w:line="360" w:lineRule="auto"/>
        <w:jc w:val="both"/>
        <w:rPr>
          <w:rFonts w:ascii="Arial" w:hAnsi="Arial" w:cs="Arial"/>
          <w:sz w:val="24"/>
          <w:szCs w:val="24"/>
        </w:rPr>
      </w:pPr>
      <w:r w:rsidRPr="00782161">
        <w:rPr>
          <w:rFonts w:ascii="Arial" w:hAnsi="Arial" w:cs="Arial"/>
          <w:sz w:val="24"/>
          <w:szCs w:val="24"/>
        </w:rPr>
        <w:t xml:space="preserve">Quais ferramentas foram utilizadas em cada etapa; </w:t>
      </w:r>
    </w:p>
    <w:p w:rsidRPr="00782161" w:rsidR="00782161" w:rsidP="00782161" w:rsidRDefault="00782161" w14:paraId="434A5BCE" w14:textId="77777777">
      <w:pPr>
        <w:pStyle w:val="PargrafodaLista"/>
        <w:numPr>
          <w:ilvl w:val="0"/>
          <w:numId w:val="17"/>
        </w:numPr>
        <w:spacing w:after="0" w:line="360" w:lineRule="auto"/>
        <w:jc w:val="both"/>
        <w:rPr>
          <w:rFonts w:ascii="Arial" w:hAnsi="Arial" w:cs="Arial"/>
          <w:sz w:val="24"/>
          <w:szCs w:val="24"/>
        </w:rPr>
      </w:pPr>
      <w:r w:rsidRPr="00782161">
        <w:rPr>
          <w:rFonts w:ascii="Arial" w:hAnsi="Arial" w:cs="Arial"/>
          <w:sz w:val="24"/>
          <w:szCs w:val="24"/>
        </w:rPr>
        <w:t xml:space="preserve">Quais foram os principais resultados da análise; </w:t>
      </w:r>
    </w:p>
    <w:p w:rsidRPr="00782161" w:rsidR="00782161" w:rsidP="00782161" w:rsidRDefault="00782161" w14:paraId="16B0C521" w14:textId="77777777">
      <w:pPr>
        <w:pStyle w:val="PargrafodaLista"/>
        <w:numPr>
          <w:ilvl w:val="0"/>
          <w:numId w:val="17"/>
        </w:numPr>
        <w:spacing w:after="0" w:line="360" w:lineRule="auto"/>
        <w:jc w:val="both"/>
        <w:rPr>
          <w:rFonts w:ascii="Arial" w:hAnsi="Arial" w:cs="Arial"/>
          <w:sz w:val="24"/>
          <w:szCs w:val="24"/>
        </w:rPr>
      </w:pPr>
      <w:r w:rsidRPr="00782161">
        <w:rPr>
          <w:rFonts w:ascii="Arial" w:hAnsi="Arial" w:cs="Arial"/>
          <w:sz w:val="24"/>
          <w:szCs w:val="24"/>
        </w:rPr>
        <w:t>Como a EDA contribui para o desenvolvimento do artigo.</w:t>
      </w:r>
    </w:p>
    <w:p w:rsidRPr="00782161" w:rsidR="00782161" w:rsidP="00782161" w:rsidRDefault="00782161" w14:paraId="6E8CAE1C" w14:textId="77777777">
      <w:pPr>
        <w:spacing w:after="0" w:line="360" w:lineRule="auto"/>
        <w:rPr>
          <w:rFonts w:ascii="Arial" w:hAnsi="Arial" w:cs="Arial"/>
          <w:b/>
          <w:bCs/>
          <w:sz w:val="24"/>
          <w:szCs w:val="24"/>
        </w:rPr>
      </w:pPr>
    </w:p>
    <w:sectPr w:rsidRPr="00782161" w:rsidR="00782161" w:rsidSect="000164CB">
      <w:pgSz w:w="11906" w:h="16838" w:orient="portrait"/>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F5614"/>
    <w:multiLevelType w:val="hybridMultilevel"/>
    <w:tmpl w:val="1024B7E0"/>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0F3C1EE8"/>
    <w:multiLevelType w:val="hybridMultilevel"/>
    <w:tmpl w:val="B8D698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0D742D4"/>
    <w:multiLevelType w:val="hybridMultilevel"/>
    <w:tmpl w:val="FEF25472"/>
    <w:lvl w:ilvl="0" w:tplc="04160001">
      <w:start w:val="1"/>
      <w:numFmt w:val="bullet"/>
      <w:lvlText w:val=""/>
      <w:lvlJc w:val="left"/>
      <w:pPr>
        <w:ind w:left="1788" w:hanging="360"/>
      </w:pPr>
      <w:rPr>
        <w:rFonts w:hint="default" w:ascii="Symbol" w:hAnsi="Symbol"/>
      </w:rPr>
    </w:lvl>
    <w:lvl w:ilvl="1" w:tplc="04160003" w:tentative="1">
      <w:start w:val="1"/>
      <w:numFmt w:val="bullet"/>
      <w:lvlText w:val="o"/>
      <w:lvlJc w:val="left"/>
      <w:pPr>
        <w:ind w:left="2508" w:hanging="360"/>
      </w:pPr>
      <w:rPr>
        <w:rFonts w:hint="default" w:ascii="Courier New" w:hAnsi="Courier New" w:cs="Courier New"/>
      </w:rPr>
    </w:lvl>
    <w:lvl w:ilvl="2" w:tplc="04160005" w:tentative="1">
      <w:start w:val="1"/>
      <w:numFmt w:val="bullet"/>
      <w:lvlText w:val=""/>
      <w:lvlJc w:val="left"/>
      <w:pPr>
        <w:ind w:left="3228" w:hanging="360"/>
      </w:pPr>
      <w:rPr>
        <w:rFonts w:hint="default" w:ascii="Wingdings" w:hAnsi="Wingdings"/>
      </w:rPr>
    </w:lvl>
    <w:lvl w:ilvl="3" w:tplc="04160001" w:tentative="1">
      <w:start w:val="1"/>
      <w:numFmt w:val="bullet"/>
      <w:lvlText w:val=""/>
      <w:lvlJc w:val="left"/>
      <w:pPr>
        <w:ind w:left="3948" w:hanging="360"/>
      </w:pPr>
      <w:rPr>
        <w:rFonts w:hint="default" w:ascii="Symbol" w:hAnsi="Symbol"/>
      </w:rPr>
    </w:lvl>
    <w:lvl w:ilvl="4" w:tplc="04160003" w:tentative="1">
      <w:start w:val="1"/>
      <w:numFmt w:val="bullet"/>
      <w:lvlText w:val="o"/>
      <w:lvlJc w:val="left"/>
      <w:pPr>
        <w:ind w:left="4668" w:hanging="360"/>
      </w:pPr>
      <w:rPr>
        <w:rFonts w:hint="default" w:ascii="Courier New" w:hAnsi="Courier New" w:cs="Courier New"/>
      </w:rPr>
    </w:lvl>
    <w:lvl w:ilvl="5" w:tplc="04160005" w:tentative="1">
      <w:start w:val="1"/>
      <w:numFmt w:val="bullet"/>
      <w:lvlText w:val=""/>
      <w:lvlJc w:val="left"/>
      <w:pPr>
        <w:ind w:left="5388" w:hanging="360"/>
      </w:pPr>
      <w:rPr>
        <w:rFonts w:hint="default" w:ascii="Wingdings" w:hAnsi="Wingdings"/>
      </w:rPr>
    </w:lvl>
    <w:lvl w:ilvl="6" w:tplc="04160001" w:tentative="1">
      <w:start w:val="1"/>
      <w:numFmt w:val="bullet"/>
      <w:lvlText w:val=""/>
      <w:lvlJc w:val="left"/>
      <w:pPr>
        <w:ind w:left="6108" w:hanging="360"/>
      </w:pPr>
      <w:rPr>
        <w:rFonts w:hint="default" w:ascii="Symbol" w:hAnsi="Symbol"/>
      </w:rPr>
    </w:lvl>
    <w:lvl w:ilvl="7" w:tplc="04160003" w:tentative="1">
      <w:start w:val="1"/>
      <w:numFmt w:val="bullet"/>
      <w:lvlText w:val="o"/>
      <w:lvlJc w:val="left"/>
      <w:pPr>
        <w:ind w:left="6828" w:hanging="360"/>
      </w:pPr>
      <w:rPr>
        <w:rFonts w:hint="default" w:ascii="Courier New" w:hAnsi="Courier New" w:cs="Courier New"/>
      </w:rPr>
    </w:lvl>
    <w:lvl w:ilvl="8" w:tplc="04160005" w:tentative="1">
      <w:start w:val="1"/>
      <w:numFmt w:val="bullet"/>
      <w:lvlText w:val=""/>
      <w:lvlJc w:val="left"/>
      <w:pPr>
        <w:ind w:left="7548" w:hanging="360"/>
      </w:pPr>
      <w:rPr>
        <w:rFonts w:hint="default" w:ascii="Wingdings" w:hAnsi="Wingdings"/>
      </w:rPr>
    </w:lvl>
  </w:abstractNum>
  <w:abstractNum w:abstractNumId="3" w15:restartNumberingAfterBreak="0">
    <w:nsid w:val="2B07555E"/>
    <w:multiLevelType w:val="hybridMultilevel"/>
    <w:tmpl w:val="0C300D52"/>
    <w:lvl w:ilvl="0" w:tplc="04160017">
      <w:start w:val="1"/>
      <w:numFmt w:val="lowerLetter"/>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2CAA3332"/>
    <w:multiLevelType w:val="hybridMultilevel"/>
    <w:tmpl w:val="69F697BA"/>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5" w15:restartNumberingAfterBreak="0">
    <w:nsid w:val="329E071D"/>
    <w:multiLevelType w:val="hybridMultilevel"/>
    <w:tmpl w:val="040A2EF6"/>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6" w15:restartNumberingAfterBreak="0">
    <w:nsid w:val="39605B3B"/>
    <w:multiLevelType w:val="hybridMultilevel"/>
    <w:tmpl w:val="6DA24E1A"/>
    <w:lvl w:ilvl="0" w:tplc="A2621442">
      <w:start w:val="1"/>
      <w:numFmt w:val="decimal"/>
      <w:lvlText w:val="%1."/>
      <w:lvlJc w:val="left"/>
      <w:pPr>
        <w:ind w:left="1068" w:hanging="360"/>
      </w:pPr>
      <w:rPr>
        <w:b/>
        <w:bCs/>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4A765DFB"/>
    <w:multiLevelType w:val="hybridMultilevel"/>
    <w:tmpl w:val="4CD4F3DE"/>
    <w:lvl w:ilvl="0" w:tplc="2BE67284">
      <w:start w:val="2"/>
      <w:numFmt w:val="decimal"/>
      <w:lvlText w:val="%1."/>
      <w:lvlJc w:val="left"/>
      <w:pPr>
        <w:ind w:left="360" w:hanging="360"/>
      </w:pPr>
      <w:rPr>
        <w:rFonts w:hint="default"/>
      </w:rPr>
    </w:lvl>
    <w:lvl w:ilvl="1" w:tplc="04160019" w:tentative="1">
      <w:start w:val="1"/>
      <w:numFmt w:val="lowerLetter"/>
      <w:lvlText w:val="%2."/>
      <w:lvlJc w:val="left"/>
      <w:pPr>
        <w:ind w:left="732" w:hanging="360"/>
      </w:pPr>
    </w:lvl>
    <w:lvl w:ilvl="2" w:tplc="0416001B" w:tentative="1">
      <w:start w:val="1"/>
      <w:numFmt w:val="lowerRoman"/>
      <w:lvlText w:val="%3."/>
      <w:lvlJc w:val="right"/>
      <w:pPr>
        <w:ind w:left="1452" w:hanging="180"/>
      </w:pPr>
    </w:lvl>
    <w:lvl w:ilvl="3" w:tplc="0416000F" w:tentative="1">
      <w:start w:val="1"/>
      <w:numFmt w:val="decimal"/>
      <w:lvlText w:val="%4."/>
      <w:lvlJc w:val="left"/>
      <w:pPr>
        <w:ind w:left="2172" w:hanging="360"/>
      </w:pPr>
    </w:lvl>
    <w:lvl w:ilvl="4" w:tplc="04160019" w:tentative="1">
      <w:start w:val="1"/>
      <w:numFmt w:val="lowerLetter"/>
      <w:lvlText w:val="%5."/>
      <w:lvlJc w:val="left"/>
      <w:pPr>
        <w:ind w:left="2892" w:hanging="360"/>
      </w:pPr>
    </w:lvl>
    <w:lvl w:ilvl="5" w:tplc="0416001B" w:tentative="1">
      <w:start w:val="1"/>
      <w:numFmt w:val="lowerRoman"/>
      <w:lvlText w:val="%6."/>
      <w:lvlJc w:val="right"/>
      <w:pPr>
        <w:ind w:left="3612" w:hanging="180"/>
      </w:pPr>
    </w:lvl>
    <w:lvl w:ilvl="6" w:tplc="0416000F" w:tentative="1">
      <w:start w:val="1"/>
      <w:numFmt w:val="decimal"/>
      <w:lvlText w:val="%7."/>
      <w:lvlJc w:val="left"/>
      <w:pPr>
        <w:ind w:left="4332" w:hanging="360"/>
      </w:pPr>
    </w:lvl>
    <w:lvl w:ilvl="7" w:tplc="04160019" w:tentative="1">
      <w:start w:val="1"/>
      <w:numFmt w:val="lowerLetter"/>
      <w:lvlText w:val="%8."/>
      <w:lvlJc w:val="left"/>
      <w:pPr>
        <w:ind w:left="5052" w:hanging="360"/>
      </w:pPr>
    </w:lvl>
    <w:lvl w:ilvl="8" w:tplc="0416001B" w:tentative="1">
      <w:start w:val="1"/>
      <w:numFmt w:val="lowerRoman"/>
      <w:lvlText w:val="%9."/>
      <w:lvlJc w:val="right"/>
      <w:pPr>
        <w:ind w:left="5772" w:hanging="180"/>
      </w:pPr>
    </w:lvl>
  </w:abstractNum>
  <w:abstractNum w:abstractNumId="8" w15:restartNumberingAfterBreak="0">
    <w:nsid w:val="4CC725D7"/>
    <w:multiLevelType w:val="hybridMultilevel"/>
    <w:tmpl w:val="E6FCE568"/>
    <w:lvl w:ilvl="0" w:tplc="04160001">
      <w:start w:val="1"/>
      <w:numFmt w:val="bullet"/>
      <w:lvlText w:val=""/>
      <w:lvlJc w:val="left"/>
      <w:pPr>
        <w:ind w:left="2136" w:hanging="360"/>
      </w:pPr>
      <w:rPr>
        <w:rFonts w:hint="default" w:ascii="Symbol" w:hAnsi="Symbol"/>
      </w:rPr>
    </w:lvl>
    <w:lvl w:ilvl="1" w:tplc="04160003" w:tentative="1">
      <w:start w:val="1"/>
      <w:numFmt w:val="bullet"/>
      <w:lvlText w:val="o"/>
      <w:lvlJc w:val="left"/>
      <w:pPr>
        <w:ind w:left="2856" w:hanging="360"/>
      </w:pPr>
      <w:rPr>
        <w:rFonts w:hint="default" w:ascii="Courier New" w:hAnsi="Courier New" w:cs="Courier New"/>
      </w:rPr>
    </w:lvl>
    <w:lvl w:ilvl="2" w:tplc="04160005" w:tentative="1">
      <w:start w:val="1"/>
      <w:numFmt w:val="bullet"/>
      <w:lvlText w:val=""/>
      <w:lvlJc w:val="left"/>
      <w:pPr>
        <w:ind w:left="3576" w:hanging="360"/>
      </w:pPr>
      <w:rPr>
        <w:rFonts w:hint="default" w:ascii="Wingdings" w:hAnsi="Wingdings"/>
      </w:rPr>
    </w:lvl>
    <w:lvl w:ilvl="3" w:tplc="04160001" w:tentative="1">
      <w:start w:val="1"/>
      <w:numFmt w:val="bullet"/>
      <w:lvlText w:val=""/>
      <w:lvlJc w:val="left"/>
      <w:pPr>
        <w:ind w:left="4296" w:hanging="360"/>
      </w:pPr>
      <w:rPr>
        <w:rFonts w:hint="default" w:ascii="Symbol" w:hAnsi="Symbol"/>
      </w:rPr>
    </w:lvl>
    <w:lvl w:ilvl="4" w:tplc="04160003" w:tentative="1">
      <w:start w:val="1"/>
      <w:numFmt w:val="bullet"/>
      <w:lvlText w:val="o"/>
      <w:lvlJc w:val="left"/>
      <w:pPr>
        <w:ind w:left="5016" w:hanging="360"/>
      </w:pPr>
      <w:rPr>
        <w:rFonts w:hint="default" w:ascii="Courier New" w:hAnsi="Courier New" w:cs="Courier New"/>
      </w:rPr>
    </w:lvl>
    <w:lvl w:ilvl="5" w:tplc="04160005" w:tentative="1">
      <w:start w:val="1"/>
      <w:numFmt w:val="bullet"/>
      <w:lvlText w:val=""/>
      <w:lvlJc w:val="left"/>
      <w:pPr>
        <w:ind w:left="5736" w:hanging="360"/>
      </w:pPr>
      <w:rPr>
        <w:rFonts w:hint="default" w:ascii="Wingdings" w:hAnsi="Wingdings"/>
      </w:rPr>
    </w:lvl>
    <w:lvl w:ilvl="6" w:tplc="04160001" w:tentative="1">
      <w:start w:val="1"/>
      <w:numFmt w:val="bullet"/>
      <w:lvlText w:val=""/>
      <w:lvlJc w:val="left"/>
      <w:pPr>
        <w:ind w:left="6456" w:hanging="360"/>
      </w:pPr>
      <w:rPr>
        <w:rFonts w:hint="default" w:ascii="Symbol" w:hAnsi="Symbol"/>
      </w:rPr>
    </w:lvl>
    <w:lvl w:ilvl="7" w:tplc="04160003" w:tentative="1">
      <w:start w:val="1"/>
      <w:numFmt w:val="bullet"/>
      <w:lvlText w:val="o"/>
      <w:lvlJc w:val="left"/>
      <w:pPr>
        <w:ind w:left="7176" w:hanging="360"/>
      </w:pPr>
      <w:rPr>
        <w:rFonts w:hint="default" w:ascii="Courier New" w:hAnsi="Courier New" w:cs="Courier New"/>
      </w:rPr>
    </w:lvl>
    <w:lvl w:ilvl="8" w:tplc="04160005" w:tentative="1">
      <w:start w:val="1"/>
      <w:numFmt w:val="bullet"/>
      <w:lvlText w:val=""/>
      <w:lvlJc w:val="left"/>
      <w:pPr>
        <w:ind w:left="7896" w:hanging="360"/>
      </w:pPr>
      <w:rPr>
        <w:rFonts w:hint="default" w:ascii="Wingdings" w:hAnsi="Wingdings"/>
      </w:rPr>
    </w:lvl>
  </w:abstractNum>
  <w:abstractNum w:abstractNumId="9" w15:restartNumberingAfterBreak="0">
    <w:nsid w:val="4FB33943"/>
    <w:multiLevelType w:val="hybridMultilevel"/>
    <w:tmpl w:val="75AE0ED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0" w15:restartNumberingAfterBreak="0">
    <w:nsid w:val="531506E0"/>
    <w:multiLevelType w:val="multilevel"/>
    <w:tmpl w:val="CA74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F31614"/>
    <w:multiLevelType w:val="multilevel"/>
    <w:tmpl w:val="64429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F0211E"/>
    <w:multiLevelType w:val="hybridMultilevel"/>
    <w:tmpl w:val="65D27E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2F3EEF"/>
    <w:multiLevelType w:val="multilevel"/>
    <w:tmpl w:val="2722B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584373F"/>
    <w:multiLevelType w:val="hybridMultilevel"/>
    <w:tmpl w:val="F06E6DB4"/>
    <w:lvl w:ilvl="0" w:tplc="835A8C7E">
      <w:start w:val="1"/>
      <w:numFmt w:val="decimal"/>
      <w:lvlText w:val="%1."/>
      <w:lvlJc w:val="left"/>
      <w:pPr>
        <w:ind w:left="360" w:hanging="360"/>
      </w:pPr>
      <w:rPr>
        <w:b/>
        <w:bCs/>
      </w:r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5" w15:restartNumberingAfterBreak="0">
    <w:nsid w:val="734C7D28"/>
    <w:multiLevelType w:val="multilevel"/>
    <w:tmpl w:val="516E8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6295D73"/>
    <w:multiLevelType w:val="hybridMultilevel"/>
    <w:tmpl w:val="C2F272E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16"/>
  </w:num>
  <w:num w:numId="3">
    <w:abstractNumId w:val="14"/>
  </w:num>
  <w:num w:numId="4">
    <w:abstractNumId w:val="12"/>
  </w:num>
  <w:num w:numId="5">
    <w:abstractNumId w:val="0"/>
  </w:num>
  <w:num w:numId="6">
    <w:abstractNumId w:val="7"/>
  </w:num>
  <w:num w:numId="7">
    <w:abstractNumId w:val="1"/>
  </w:num>
  <w:num w:numId="8">
    <w:abstractNumId w:val="9"/>
  </w:num>
  <w:num w:numId="9">
    <w:abstractNumId w:val="10"/>
  </w:num>
  <w:num w:numId="10">
    <w:abstractNumId w:val="6"/>
  </w:num>
  <w:num w:numId="11">
    <w:abstractNumId w:val="8"/>
  </w:num>
  <w:num w:numId="12">
    <w:abstractNumId w:val="15"/>
  </w:num>
  <w:num w:numId="13">
    <w:abstractNumId w:val="4"/>
  </w:num>
  <w:num w:numId="14">
    <w:abstractNumId w:val="13"/>
  </w:num>
  <w:num w:numId="15">
    <w:abstractNumId w:val="5"/>
  </w:num>
  <w:num w:numId="16">
    <w:abstractNumId w:val="1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CB"/>
    <w:rsid w:val="00007807"/>
    <w:rsid w:val="000164CB"/>
    <w:rsid w:val="000214B4"/>
    <w:rsid w:val="00041F9C"/>
    <w:rsid w:val="00070FBF"/>
    <w:rsid w:val="00072F3C"/>
    <w:rsid w:val="00095A63"/>
    <w:rsid w:val="000C5A60"/>
    <w:rsid w:val="000E0AC1"/>
    <w:rsid w:val="001115F1"/>
    <w:rsid w:val="00160B03"/>
    <w:rsid w:val="00170E04"/>
    <w:rsid w:val="00197860"/>
    <w:rsid w:val="001D4F68"/>
    <w:rsid w:val="001E44E4"/>
    <w:rsid w:val="0024564C"/>
    <w:rsid w:val="00281225"/>
    <w:rsid w:val="00294C79"/>
    <w:rsid w:val="002B106A"/>
    <w:rsid w:val="00351D0A"/>
    <w:rsid w:val="003943FB"/>
    <w:rsid w:val="00397A26"/>
    <w:rsid w:val="003C55F4"/>
    <w:rsid w:val="00414580"/>
    <w:rsid w:val="00433E69"/>
    <w:rsid w:val="00460126"/>
    <w:rsid w:val="00466CD6"/>
    <w:rsid w:val="004D5979"/>
    <w:rsid w:val="005035AF"/>
    <w:rsid w:val="005713B7"/>
    <w:rsid w:val="0059580B"/>
    <w:rsid w:val="005961AC"/>
    <w:rsid w:val="005C19BD"/>
    <w:rsid w:val="00634FE8"/>
    <w:rsid w:val="006505F6"/>
    <w:rsid w:val="00650C60"/>
    <w:rsid w:val="0068058F"/>
    <w:rsid w:val="006B7AF9"/>
    <w:rsid w:val="006D49F1"/>
    <w:rsid w:val="006E2028"/>
    <w:rsid w:val="007152D8"/>
    <w:rsid w:val="007507CC"/>
    <w:rsid w:val="00760777"/>
    <w:rsid w:val="00782161"/>
    <w:rsid w:val="0079134A"/>
    <w:rsid w:val="007F1CAA"/>
    <w:rsid w:val="008276DD"/>
    <w:rsid w:val="00876F41"/>
    <w:rsid w:val="00893C09"/>
    <w:rsid w:val="00911AE4"/>
    <w:rsid w:val="0098623D"/>
    <w:rsid w:val="00A0140D"/>
    <w:rsid w:val="00A53B3C"/>
    <w:rsid w:val="00A841B3"/>
    <w:rsid w:val="00AE3A9D"/>
    <w:rsid w:val="00AF1BA5"/>
    <w:rsid w:val="00B07C69"/>
    <w:rsid w:val="00B101F3"/>
    <w:rsid w:val="00B26E24"/>
    <w:rsid w:val="00B52386"/>
    <w:rsid w:val="00B65614"/>
    <w:rsid w:val="00B760CF"/>
    <w:rsid w:val="00B92F1D"/>
    <w:rsid w:val="00B9594F"/>
    <w:rsid w:val="00BE5856"/>
    <w:rsid w:val="00C32157"/>
    <w:rsid w:val="00C405FC"/>
    <w:rsid w:val="00C72DAA"/>
    <w:rsid w:val="00CD656F"/>
    <w:rsid w:val="00CE78F5"/>
    <w:rsid w:val="00CF7465"/>
    <w:rsid w:val="00D11471"/>
    <w:rsid w:val="00D52C0F"/>
    <w:rsid w:val="00DC075E"/>
    <w:rsid w:val="00E26547"/>
    <w:rsid w:val="00E342DC"/>
    <w:rsid w:val="00E6137D"/>
    <w:rsid w:val="00E954D5"/>
    <w:rsid w:val="00ED3B20"/>
    <w:rsid w:val="00ED42F2"/>
    <w:rsid w:val="00ED4B04"/>
    <w:rsid w:val="00EF161A"/>
    <w:rsid w:val="00F03997"/>
    <w:rsid w:val="00F27CE0"/>
    <w:rsid w:val="00F6257B"/>
    <w:rsid w:val="00FC2F00"/>
    <w:rsid w:val="00FD2A6C"/>
    <w:rsid w:val="00FE5DDC"/>
    <w:rsid w:val="00FE5F97"/>
    <w:rsid w:val="00FE61B6"/>
    <w:rsid w:val="2C6CB3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50368"/>
  <w15:chartTrackingRefBased/>
  <w15:docId w15:val="{763AFC4B-77D9-457D-8BC5-D094F293D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000164CB"/>
    <w:pPr>
      <w:ind w:left="720"/>
      <w:contextualSpacing/>
    </w:pPr>
  </w:style>
  <w:style w:type="table" w:styleId="Tabelacomgrade">
    <w:name w:val="Table Grid"/>
    <w:basedOn w:val="Tabelanormal"/>
    <w:uiPriority w:val="39"/>
    <w:rsid w:val="000164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rte">
    <w:name w:val="Strong"/>
    <w:basedOn w:val="Fontepargpadro"/>
    <w:uiPriority w:val="22"/>
    <w:qFormat/>
    <w:rsid w:val="00D11471"/>
    <w:rPr>
      <w:b/>
      <w:bCs/>
    </w:rPr>
  </w:style>
  <w:style w:type="paragraph" w:styleId="pdq2pgselectionanchorcontainer" w:customStyle="1">
    <w:name w:val="pdq2pg_selectionanchorcontainer"/>
    <w:basedOn w:val="Normal"/>
    <w:rsid w:val="0059580B"/>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NormalWeb">
    <w:name w:val="Normal (Web)"/>
    <w:basedOn w:val="Normal"/>
    <w:uiPriority w:val="99"/>
    <w:semiHidden/>
    <w:unhideWhenUsed/>
    <w:rsid w:val="0059580B"/>
    <w:pPr>
      <w:spacing w:before="100" w:beforeAutospacing="1" w:after="100" w:afterAutospacing="1" w:line="240" w:lineRule="auto"/>
    </w:pPr>
    <w:rPr>
      <w:rFonts w:ascii="Times New Roman" w:hAnsi="Times New Roman" w:eastAsia="Times New Roman" w:cs="Times New Roman"/>
      <w:sz w:val="24"/>
      <w:szCs w:val="24"/>
      <w:lang w:eastAsia="pt-BR"/>
    </w:rPr>
  </w:style>
  <w:style w:type="table" w:styleId="TabeladeGradeClara">
    <w:name w:val="Grid Table Light"/>
    <w:basedOn w:val="Tabelanormal"/>
    <w:uiPriority w:val="40"/>
    <w:rsid w:val="008276DD"/>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439">
      <w:bodyDiv w:val="1"/>
      <w:marLeft w:val="0"/>
      <w:marRight w:val="0"/>
      <w:marTop w:val="0"/>
      <w:marBottom w:val="0"/>
      <w:divBdr>
        <w:top w:val="none" w:sz="0" w:space="0" w:color="auto"/>
        <w:left w:val="none" w:sz="0" w:space="0" w:color="auto"/>
        <w:bottom w:val="none" w:sz="0" w:space="0" w:color="auto"/>
        <w:right w:val="none" w:sz="0" w:space="0" w:color="auto"/>
      </w:divBdr>
    </w:div>
    <w:div w:id="66002754">
      <w:bodyDiv w:val="1"/>
      <w:marLeft w:val="0"/>
      <w:marRight w:val="0"/>
      <w:marTop w:val="0"/>
      <w:marBottom w:val="0"/>
      <w:divBdr>
        <w:top w:val="none" w:sz="0" w:space="0" w:color="auto"/>
        <w:left w:val="none" w:sz="0" w:space="0" w:color="auto"/>
        <w:bottom w:val="none" w:sz="0" w:space="0" w:color="auto"/>
        <w:right w:val="none" w:sz="0" w:space="0" w:color="auto"/>
      </w:divBdr>
    </w:div>
    <w:div w:id="202981851">
      <w:bodyDiv w:val="1"/>
      <w:marLeft w:val="0"/>
      <w:marRight w:val="0"/>
      <w:marTop w:val="0"/>
      <w:marBottom w:val="0"/>
      <w:divBdr>
        <w:top w:val="none" w:sz="0" w:space="0" w:color="auto"/>
        <w:left w:val="none" w:sz="0" w:space="0" w:color="auto"/>
        <w:bottom w:val="none" w:sz="0" w:space="0" w:color="auto"/>
        <w:right w:val="none" w:sz="0" w:space="0" w:color="auto"/>
      </w:divBdr>
    </w:div>
    <w:div w:id="247734492">
      <w:bodyDiv w:val="1"/>
      <w:marLeft w:val="0"/>
      <w:marRight w:val="0"/>
      <w:marTop w:val="0"/>
      <w:marBottom w:val="0"/>
      <w:divBdr>
        <w:top w:val="none" w:sz="0" w:space="0" w:color="auto"/>
        <w:left w:val="none" w:sz="0" w:space="0" w:color="auto"/>
        <w:bottom w:val="none" w:sz="0" w:space="0" w:color="auto"/>
        <w:right w:val="none" w:sz="0" w:space="0" w:color="auto"/>
      </w:divBdr>
    </w:div>
    <w:div w:id="369570990">
      <w:bodyDiv w:val="1"/>
      <w:marLeft w:val="0"/>
      <w:marRight w:val="0"/>
      <w:marTop w:val="0"/>
      <w:marBottom w:val="0"/>
      <w:divBdr>
        <w:top w:val="none" w:sz="0" w:space="0" w:color="auto"/>
        <w:left w:val="none" w:sz="0" w:space="0" w:color="auto"/>
        <w:bottom w:val="none" w:sz="0" w:space="0" w:color="auto"/>
        <w:right w:val="none" w:sz="0" w:space="0" w:color="auto"/>
      </w:divBdr>
      <w:divsChild>
        <w:div w:id="1089958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126204">
      <w:bodyDiv w:val="1"/>
      <w:marLeft w:val="0"/>
      <w:marRight w:val="0"/>
      <w:marTop w:val="0"/>
      <w:marBottom w:val="0"/>
      <w:divBdr>
        <w:top w:val="none" w:sz="0" w:space="0" w:color="auto"/>
        <w:left w:val="none" w:sz="0" w:space="0" w:color="auto"/>
        <w:bottom w:val="none" w:sz="0" w:space="0" w:color="auto"/>
        <w:right w:val="none" w:sz="0" w:space="0" w:color="auto"/>
      </w:divBdr>
    </w:div>
    <w:div w:id="588542128">
      <w:bodyDiv w:val="1"/>
      <w:marLeft w:val="0"/>
      <w:marRight w:val="0"/>
      <w:marTop w:val="0"/>
      <w:marBottom w:val="0"/>
      <w:divBdr>
        <w:top w:val="none" w:sz="0" w:space="0" w:color="auto"/>
        <w:left w:val="none" w:sz="0" w:space="0" w:color="auto"/>
        <w:bottom w:val="none" w:sz="0" w:space="0" w:color="auto"/>
        <w:right w:val="none" w:sz="0" w:space="0" w:color="auto"/>
      </w:divBdr>
    </w:div>
    <w:div w:id="603534195">
      <w:bodyDiv w:val="1"/>
      <w:marLeft w:val="0"/>
      <w:marRight w:val="0"/>
      <w:marTop w:val="0"/>
      <w:marBottom w:val="0"/>
      <w:divBdr>
        <w:top w:val="none" w:sz="0" w:space="0" w:color="auto"/>
        <w:left w:val="none" w:sz="0" w:space="0" w:color="auto"/>
        <w:bottom w:val="none" w:sz="0" w:space="0" w:color="auto"/>
        <w:right w:val="none" w:sz="0" w:space="0" w:color="auto"/>
      </w:divBdr>
    </w:div>
    <w:div w:id="618684499">
      <w:bodyDiv w:val="1"/>
      <w:marLeft w:val="0"/>
      <w:marRight w:val="0"/>
      <w:marTop w:val="0"/>
      <w:marBottom w:val="0"/>
      <w:divBdr>
        <w:top w:val="none" w:sz="0" w:space="0" w:color="auto"/>
        <w:left w:val="none" w:sz="0" w:space="0" w:color="auto"/>
        <w:bottom w:val="none" w:sz="0" w:space="0" w:color="auto"/>
        <w:right w:val="none" w:sz="0" w:space="0" w:color="auto"/>
      </w:divBdr>
    </w:div>
    <w:div w:id="804355185">
      <w:bodyDiv w:val="1"/>
      <w:marLeft w:val="0"/>
      <w:marRight w:val="0"/>
      <w:marTop w:val="0"/>
      <w:marBottom w:val="0"/>
      <w:divBdr>
        <w:top w:val="none" w:sz="0" w:space="0" w:color="auto"/>
        <w:left w:val="none" w:sz="0" w:space="0" w:color="auto"/>
        <w:bottom w:val="none" w:sz="0" w:space="0" w:color="auto"/>
        <w:right w:val="none" w:sz="0" w:space="0" w:color="auto"/>
      </w:divBdr>
    </w:div>
    <w:div w:id="1039087597">
      <w:bodyDiv w:val="1"/>
      <w:marLeft w:val="0"/>
      <w:marRight w:val="0"/>
      <w:marTop w:val="0"/>
      <w:marBottom w:val="0"/>
      <w:divBdr>
        <w:top w:val="none" w:sz="0" w:space="0" w:color="auto"/>
        <w:left w:val="none" w:sz="0" w:space="0" w:color="auto"/>
        <w:bottom w:val="none" w:sz="0" w:space="0" w:color="auto"/>
        <w:right w:val="none" w:sz="0" w:space="0" w:color="auto"/>
      </w:divBdr>
    </w:div>
    <w:div w:id="1063600167">
      <w:bodyDiv w:val="1"/>
      <w:marLeft w:val="0"/>
      <w:marRight w:val="0"/>
      <w:marTop w:val="0"/>
      <w:marBottom w:val="0"/>
      <w:divBdr>
        <w:top w:val="none" w:sz="0" w:space="0" w:color="auto"/>
        <w:left w:val="none" w:sz="0" w:space="0" w:color="auto"/>
        <w:bottom w:val="none" w:sz="0" w:space="0" w:color="auto"/>
        <w:right w:val="none" w:sz="0" w:space="0" w:color="auto"/>
      </w:divBdr>
    </w:div>
    <w:div w:id="1069613910">
      <w:bodyDiv w:val="1"/>
      <w:marLeft w:val="0"/>
      <w:marRight w:val="0"/>
      <w:marTop w:val="0"/>
      <w:marBottom w:val="0"/>
      <w:divBdr>
        <w:top w:val="none" w:sz="0" w:space="0" w:color="auto"/>
        <w:left w:val="none" w:sz="0" w:space="0" w:color="auto"/>
        <w:bottom w:val="none" w:sz="0" w:space="0" w:color="auto"/>
        <w:right w:val="none" w:sz="0" w:space="0" w:color="auto"/>
      </w:divBdr>
    </w:div>
    <w:div w:id="1074204556">
      <w:bodyDiv w:val="1"/>
      <w:marLeft w:val="0"/>
      <w:marRight w:val="0"/>
      <w:marTop w:val="0"/>
      <w:marBottom w:val="0"/>
      <w:divBdr>
        <w:top w:val="none" w:sz="0" w:space="0" w:color="auto"/>
        <w:left w:val="none" w:sz="0" w:space="0" w:color="auto"/>
        <w:bottom w:val="none" w:sz="0" w:space="0" w:color="auto"/>
        <w:right w:val="none" w:sz="0" w:space="0" w:color="auto"/>
      </w:divBdr>
    </w:div>
    <w:div w:id="1080367654">
      <w:bodyDiv w:val="1"/>
      <w:marLeft w:val="0"/>
      <w:marRight w:val="0"/>
      <w:marTop w:val="0"/>
      <w:marBottom w:val="0"/>
      <w:divBdr>
        <w:top w:val="none" w:sz="0" w:space="0" w:color="auto"/>
        <w:left w:val="none" w:sz="0" w:space="0" w:color="auto"/>
        <w:bottom w:val="none" w:sz="0" w:space="0" w:color="auto"/>
        <w:right w:val="none" w:sz="0" w:space="0" w:color="auto"/>
      </w:divBdr>
    </w:div>
    <w:div w:id="1213544554">
      <w:bodyDiv w:val="1"/>
      <w:marLeft w:val="0"/>
      <w:marRight w:val="0"/>
      <w:marTop w:val="0"/>
      <w:marBottom w:val="0"/>
      <w:divBdr>
        <w:top w:val="none" w:sz="0" w:space="0" w:color="auto"/>
        <w:left w:val="none" w:sz="0" w:space="0" w:color="auto"/>
        <w:bottom w:val="none" w:sz="0" w:space="0" w:color="auto"/>
        <w:right w:val="none" w:sz="0" w:space="0" w:color="auto"/>
      </w:divBdr>
    </w:div>
    <w:div w:id="1322584050">
      <w:bodyDiv w:val="1"/>
      <w:marLeft w:val="0"/>
      <w:marRight w:val="0"/>
      <w:marTop w:val="0"/>
      <w:marBottom w:val="0"/>
      <w:divBdr>
        <w:top w:val="none" w:sz="0" w:space="0" w:color="auto"/>
        <w:left w:val="none" w:sz="0" w:space="0" w:color="auto"/>
        <w:bottom w:val="none" w:sz="0" w:space="0" w:color="auto"/>
        <w:right w:val="none" w:sz="0" w:space="0" w:color="auto"/>
      </w:divBdr>
    </w:div>
    <w:div w:id="1374310558">
      <w:bodyDiv w:val="1"/>
      <w:marLeft w:val="0"/>
      <w:marRight w:val="0"/>
      <w:marTop w:val="0"/>
      <w:marBottom w:val="0"/>
      <w:divBdr>
        <w:top w:val="none" w:sz="0" w:space="0" w:color="auto"/>
        <w:left w:val="none" w:sz="0" w:space="0" w:color="auto"/>
        <w:bottom w:val="none" w:sz="0" w:space="0" w:color="auto"/>
        <w:right w:val="none" w:sz="0" w:space="0" w:color="auto"/>
      </w:divBdr>
    </w:div>
    <w:div w:id="1438940342">
      <w:bodyDiv w:val="1"/>
      <w:marLeft w:val="0"/>
      <w:marRight w:val="0"/>
      <w:marTop w:val="0"/>
      <w:marBottom w:val="0"/>
      <w:divBdr>
        <w:top w:val="none" w:sz="0" w:space="0" w:color="auto"/>
        <w:left w:val="none" w:sz="0" w:space="0" w:color="auto"/>
        <w:bottom w:val="none" w:sz="0" w:space="0" w:color="auto"/>
        <w:right w:val="none" w:sz="0" w:space="0" w:color="auto"/>
      </w:divBdr>
    </w:div>
    <w:div w:id="1539926928">
      <w:bodyDiv w:val="1"/>
      <w:marLeft w:val="0"/>
      <w:marRight w:val="0"/>
      <w:marTop w:val="0"/>
      <w:marBottom w:val="0"/>
      <w:divBdr>
        <w:top w:val="none" w:sz="0" w:space="0" w:color="auto"/>
        <w:left w:val="none" w:sz="0" w:space="0" w:color="auto"/>
        <w:bottom w:val="none" w:sz="0" w:space="0" w:color="auto"/>
        <w:right w:val="none" w:sz="0" w:space="0" w:color="auto"/>
      </w:divBdr>
    </w:div>
    <w:div w:id="1701316884">
      <w:bodyDiv w:val="1"/>
      <w:marLeft w:val="0"/>
      <w:marRight w:val="0"/>
      <w:marTop w:val="0"/>
      <w:marBottom w:val="0"/>
      <w:divBdr>
        <w:top w:val="none" w:sz="0" w:space="0" w:color="auto"/>
        <w:left w:val="none" w:sz="0" w:space="0" w:color="auto"/>
        <w:bottom w:val="none" w:sz="0" w:space="0" w:color="auto"/>
        <w:right w:val="none" w:sz="0" w:space="0" w:color="auto"/>
      </w:divBdr>
    </w:div>
    <w:div w:id="1806384898">
      <w:bodyDiv w:val="1"/>
      <w:marLeft w:val="0"/>
      <w:marRight w:val="0"/>
      <w:marTop w:val="0"/>
      <w:marBottom w:val="0"/>
      <w:divBdr>
        <w:top w:val="none" w:sz="0" w:space="0" w:color="auto"/>
        <w:left w:val="none" w:sz="0" w:space="0" w:color="auto"/>
        <w:bottom w:val="none" w:sz="0" w:space="0" w:color="auto"/>
        <w:right w:val="none" w:sz="0" w:space="0" w:color="auto"/>
      </w:divBdr>
    </w:div>
    <w:div w:id="1873493416">
      <w:bodyDiv w:val="1"/>
      <w:marLeft w:val="0"/>
      <w:marRight w:val="0"/>
      <w:marTop w:val="0"/>
      <w:marBottom w:val="0"/>
      <w:divBdr>
        <w:top w:val="none" w:sz="0" w:space="0" w:color="auto"/>
        <w:left w:val="none" w:sz="0" w:space="0" w:color="auto"/>
        <w:bottom w:val="none" w:sz="0" w:space="0" w:color="auto"/>
        <w:right w:val="none" w:sz="0" w:space="0" w:color="auto"/>
      </w:divBdr>
    </w:div>
    <w:div w:id="1893232896">
      <w:bodyDiv w:val="1"/>
      <w:marLeft w:val="0"/>
      <w:marRight w:val="0"/>
      <w:marTop w:val="0"/>
      <w:marBottom w:val="0"/>
      <w:divBdr>
        <w:top w:val="none" w:sz="0" w:space="0" w:color="auto"/>
        <w:left w:val="none" w:sz="0" w:space="0" w:color="auto"/>
        <w:bottom w:val="none" w:sz="0" w:space="0" w:color="auto"/>
        <w:right w:val="none" w:sz="0" w:space="0" w:color="auto"/>
      </w:divBdr>
    </w:div>
    <w:div w:id="1941067321">
      <w:bodyDiv w:val="1"/>
      <w:marLeft w:val="0"/>
      <w:marRight w:val="0"/>
      <w:marTop w:val="0"/>
      <w:marBottom w:val="0"/>
      <w:divBdr>
        <w:top w:val="none" w:sz="0" w:space="0" w:color="auto"/>
        <w:left w:val="none" w:sz="0" w:space="0" w:color="auto"/>
        <w:bottom w:val="none" w:sz="0" w:space="0" w:color="auto"/>
        <w:right w:val="none" w:sz="0" w:space="0" w:color="auto"/>
      </w:divBdr>
    </w:div>
    <w:div w:id="1954550567">
      <w:bodyDiv w:val="1"/>
      <w:marLeft w:val="0"/>
      <w:marRight w:val="0"/>
      <w:marTop w:val="0"/>
      <w:marBottom w:val="0"/>
      <w:divBdr>
        <w:top w:val="none" w:sz="0" w:space="0" w:color="auto"/>
        <w:left w:val="none" w:sz="0" w:space="0" w:color="auto"/>
        <w:bottom w:val="none" w:sz="0" w:space="0" w:color="auto"/>
        <w:right w:val="none" w:sz="0" w:space="0" w:color="auto"/>
      </w:divBdr>
    </w:div>
    <w:div w:id="2068600032">
      <w:bodyDiv w:val="1"/>
      <w:marLeft w:val="0"/>
      <w:marRight w:val="0"/>
      <w:marTop w:val="0"/>
      <w:marBottom w:val="0"/>
      <w:divBdr>
        <w:top w:val="none" w:sz="0" w:space="0" w:color="auto"/>
        <w:left w:val="none" w:sz="0" w:space="0" w:color="auto"/>
        <w:bottom w:val="none" w:sz="0" w:space="0" w:color="auto"/>
        <w:right w:val="none" w:sz="0" w:space="0" w:color="auto"/>
      </w:divBdr>
    </w:div>
    <w:div w:id="210791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4C3CC2B4807B845B55F4FEDB3804DDB" ma:contentTypeVersion="7" ma:contentTypeDescription="Crie um novo documento." ma:contentTypeScope="" ma:versionID="163e48a84b237a044d5266d41b0b5209">
  <xsd:schema xmlns:xsd="http://www.w3.org/2001/XMLSchema" xmlns:xs="http://www.w3.org/2001/XMLSchema" xmlns:p="http://schemas.microsoft.com/office/2006/metadata/properties" xmlns:ns2="44141cad-dcff-4359-a27f-336ef3a568b4" targetNamespace="http://schemas.microsoft.com/office/2006/metadata/properties" ma:root="true" ma:fieldsID="2356b92531cf428c9316722c9e89a05f" ns2:_="">
    <xsd:import namespace="44141cad-dcff-4359-a27f-336ef3a568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41cad-dcff-4359-a27f-336ef3a568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52C7F3-5651-4D26-B614-9F652555FF6C}">
  <ds:schemaRefs>
    <ds:schemaRef ds:uri="http://schemas.openxmlformats.org/officeDocument/2006/bibliography"/>
  </ds:schemaRefs>
</ds:datastoreItem>
</file>

<file path=customXml/itemProps2.xml><?xml version="1.0" encoding="utf-8"?>
<ds:datastoreItem xmlns:ds="http://schemas.openxmlformats.org/officeDocument/2006/customXml" ds:itemID="{82D6015B-9B25-4C35-ABF6-D8587BEB9C4F}"/>
</file>

<file path=customXml/itemProps3.xml><?xml version="1.0" encoding="utf-8"?>
<ds:datastoreItem xmlns:ds="http://schemas.openxmlformats.org/officeDocument/2006/customXml" ds:itemID="{DF78230B-E140-4684-A5E0-F74196E64E4A}"/>
</file>

<file path=customXml/itemProps4.xml><?xml version="1.0" encoding="utf-8"?>
<ds:datastoreItem xmlns:ds="http://schemas.openxmlformats.org/officeDocument/2006/customXml" ds:itemID="{5422D1BE-B0C4-43B9-8F7C-65892AFA42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Paulo Sergio</dc:creator>
  <keywords/>
  <dc:description/>
  <lastModifiedBy>Lucas Gabriel Souza da Silva</lastModifiedBy>
  <revision>124</revision>
  <dcterms:created xsi:type="dcterms:W3CDTF">2026-08-10T14:52:00.0000000Z</dcterms:created>
  <dcterms:modified xsi:type="dcterms:W3CDTF">2026-08-25T18:33:56.6886969Z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0x010100D4C3CC2B4807B845B55F4FEDB3804DDB</vt:lpwstr>
  </property>
</Properties>
</file>