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Checklist</w:t>
      </w:r>
      <w:r>
        <w:t xml:space="preserve"> </w:t>
      </w:r>
      <w:r>
        <w:t xml:space="preserve">REFORMS</w:t>
      </w:r>
      <w:r>
        <w:t xml:space="preserve"> </w:t>
      </w:r>
      <w:r>
        <w:t xml:space="preserve">aplicado</w:t>
      </w:r>
      <w:r>
        <w:t xml:space="preserve"> </w:t>
      </w:r>
      <w:r>
        <w:t xml:space="preserve">ao</w:t>
      </w:r>
      <w:r>
        <w:t xml:space="preserve"> </w:t>
      </w:r>
      <w:r>
        <w:t xml:space="preserve">estudo</w:t>
      </w:r>
    </w:p>
    <w:p>
      <w:pPr>
        <w:pStyle w:val="Subtitle"/>
      </w:pPr>
      <w:r>
        <w:t xml:space="preserve">Plataformas</w:t>
      </w:r>
      <w:r>
        <w:t xml:space="preserve"> </w:t>
      </w:r>
      <w:r>
        <w:t xml:space="preserve">de</w:t>
      </w:r>
      <w:r>
        <w:t xml:space="preserve"> </w:t>
      </w:r>
      <w:r>
        <w:t xml:space="preserve">entrega</w:t>
      </w:r>
      <w:r>
        <w:t xml:space="preserve"> </w:t>
      </w:r>
      <w:r>
        <w:t xml:space="preserve">e</w:t>
      </w:r>
      <w:r>
        <w:t xml:space="preserve"> </w:t>
      </w:r>
      <w:r>
        <w:t xml:space="preserve">internações</w:t>
      </w:r>
      <w:r>
        <w:t xml:space="preserve"> </w:t>
      </w:r>
      <w:r>
        <w:t xml:space="preserve">de</w:t>
      </w:r>
      <w:r>
        <w:t xml:space="preserve"> </w:t>
      </w:r>
      <w:r>
        <w:t xml:space="preserve">motociclistas</w:t>
      </w:r>
      <w:r>
        <w:t xml:space="preserve"> </w:t>
      </w:r>
      <w:r>
        <w:t xml:space="preserve">no</w:t>
      </w:r>
      <w:r>
        <w:t xml:space="preserve"> </w:t>
      </w:r>
      <w:r>
        <w:t xml:space="preserve">SUS</w:t>
      </w:r>
      <w:r>
        <w:t xml:space="preserve"> </w:t>
      </w:r>
      <w:r>
        <w:t xml:space="preserve">—</w:t>
      </w:r>
      <w:r>
        <w:t xml:space="preserve"> </w:t>
      </w:r>
      <w:r>
        <w:t xml:space="preserve">versão</w:t>
      </w:r>
      <w:r>
        <w:t xml:space="preserve"> </w:t>
      </w:r>
      <w:r>
        <w:t xml:space="preserve">prévia</w:t>
      </w:r>
    </w:p>
    <w:p>
      <w:pPr>
        <w:pStyle w:val="Author"/>
      </w:pPr>
      <w:r>
        <w:t xml:space="preserve">[NOMES</w:t>
      </w:r>
      <w:r>
        <w:t xml:space="preserve"> </w:t>
      </w:r>
      <w:r>
        <w:t xml:space="preserve">DOS</w:t>
      </w:r>
      <w:r>
        <w:t xml:space="preserve"> </w:t>
      </w:r>
      <w:r>
        <w:t xml:space="preserve">AUTORES]</w:t>
      </w:r>
      <w:r>
        <w:t xml:space="preserve"> </w:t>
      </w:r>
      <w:r>
        <w:t xml:space="preserve">—</w:t>
      </w:r>
      <w:r>
        <w:t xml:space="preserve"> </w:t>
      </w:r>
      <w:r>
        <w:t xml:space="preserve">UFPR</w:t>
      </w:r>
    </w:p>
    <w:p>
      <w:pPr>
        <w:pStyle w:val="Date"/>
      </w:pPr>
      <w:r>
        <w:t xml:space="preserve">13</w:t>
      </w:r>
      <w:r>
        <w:t xml:space="preserve"> </w:t>
      </w:r>
      <w:r>
        <w:t xml:space="preserve">de</w:t>
      </w:r>
      <w:r>
        <w:t xml:space="preserve"> </w:t>
      </w: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Checklist REFORMS (Kapoor et al., 2024,</w:t>
      </w:r>
      <w:r>
        <w:t xml:space="preserve"> </w:t>
      </w:r>
      <w:r>
        <w:rPr>
          <w:iCs/>
          <w:i/>
        </w:rPr>
        <w:t xml:space="preserve">Science Advances</w:t>
      </w:r>
      <w:r>
        <w:t xml:space="preserve"> </w:t>
      </w:r>
      <w:r>
        <w:t xml:space="preserve">10(18): eadk3452), 8 módulos e 32 itens, aplicado como revisão metodológica final.</w:t>
      </w:r>
      <w:r>
        <w:t xml:space="preserve"> </w:t>
      </w:r>
      <w:r>
        <w:rPr>
          <w:bCs/>
          <w:b/>
        </w:rPr>
        <w:t xml:space="preserve">Nota de adaptação:</w:t>
      </w:r>
      <w:r>
        <w:t xml:space="preserve"> </w:t>
      </w:r>
      <w:r>
        <w:t xml:space="preserve">o estudo é de inferência causal observacional (diferenças em diferenças), e o componente de</w:t>
      </w:r>
      <w:r>
        <w:t xml:space="preserve"> </w:t>
      </w:r>
      <w:r>
        <w:t xml:space="preserve">“</w:t>
      </w:r>
      <w:r>
        <w:t xml:space="preserve">modelo</w:t>
      </w:r>
      <w:r>
        <w:t xml:space="preserve">”</w:t>
      </w:r>
      <w:r>
        <w:t xml:space="preserve"> </w:t>
      </w:r>
      <w:r>
        <w:t xml:space="preserve">ajustado aos dados é a regra de detecção de quebra estrutural que constrói o tratamento. Os itens de ML são respondidos para essa regra; onde o item não se aplica, dizemos por quê. Status:</w:t>
      </w:r>
      <w:r>
        <w:t xml:space="preserve"> </w:t>
      </w:r>
      <w:r>
        <w:rPr>
          <w:bCs/>
          <w:b/>
        </w:rPr>
        <w:t xml:space="preserve">✓</w:t>
      </w:r>
      <w:r>
        <w:t xml:space="preserve"> </w:t>
      </w:r>
      <w:r>
        <w:t xml:space="preserve">atendido;</w:t>
      </w:r>
      <w:r>
        <w:t xml:space="preserve"> </w:t>
      </w:r>
      <w:r>
        <w:rPr>
          <w:bCs/>
          <w:b/>
        </w:rPr>
        <w:t xml:space="preserve">◐</w:t>
      </w:r>
      <w:r>
        <w:t xml:space="preserve"> </w:t>
      </w:r>
      <w:r>
        <w:t xml:space="preserve">parcial ou previsto no pré-registro;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não se aplica.</w:t>
      </w:r>
    </w:p>
    <w:bookmarkStart w:id="20" w:name="módulo-1-objetivos-do-estudo"/>
    <w:p>
      <w:pPr>
        <w:pStyle w:val="Heading2"/>
      </w:pPr>
      <w:r>
        <w:t xml:space="preserve">Módulo 1 — Objetivos do estudo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1a. População ou fenômeno de interesse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Motociclistas internados no SUS por acidente de trânsito (CID-10 V20–V29), em municípios brasileiros de 20 mil+ habitantes, 2015–2025; tratamento: chegada do entregador remunerado por corrida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§1, §2.2; plano §1 e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1b. Motivação para o uso de métodos de ML/ciência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tratamento não é observado em nenhuma base; precisa ser inferido de um sinal ruidoso (aberturas de MEI) por regra de detecção de quebra calibrada. Estimação causal por DiD escalonado porque TWFE é inconsistente com adoção escalonada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§2.3–2.4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1c. População-alvo da inferência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Municípios de 20–100 mil habitantes (onde a regra é validada); 100 mil+ como coorte precoce; &lt; 20 mil fora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Tabela 3; plano §4</w:t>
            </w:r>
          </w:p>
        </w:tc>
      </w:tr>
    </w:tbl>
    <w:bookmarkEnd w:id="20"/>
    <w:bookmarkStart w:id="21" w:name="módulo-2-reprodutibilidade-computacional"/>
    <w:p>
      <w:pPr>
        <w:pStyle w:val="Heading2"/>
      </w:pPr>
      <w:r>
        <w:t xml:space="preserve">Módulo 2 — Reprodutibilidade computacional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2a. Dataset utilizado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fontes públicas, com órgão, URL, cobertura e formato. Microdado não versionado por volume; reconstruído por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docs/anexo-a-…md</w:t>
            </w:r>
            <w:r>
              <w:t xml:space="preserve">; artigo 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2b.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público</w:t>
            </w:r>
            <w:r>
              <w:t xml:space="preserve"> </w:t>
            </w:r>
            <w:r>
              <w:rPr>
                <w:rStyle w:val="VerbatimChar"/>
              </w:rPr>
              <w:t xml:space="preserve">github.com/mrcsvg/vcemal</w:t>
            </w:r>
            <w:r>
              <w:t xml:space="preserve">, 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2c. Infraestrutura computacional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≥ 3.11, CPU comum; série SIH ~3.564 arquivos; CNPJ ~6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pyproject.toml</w:t>
            </w:r>
            <w:r>
              <w:t xml:space="preserve">;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2d. README com instruções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a passo por alvo de</w:t>
            </w:r>
            <w:r>
              <w:t xml:space="preserve"> </w:t>
            </w:r>
            <w:r>
              <w:rPr>
                <w:rStyle w:val="VerbatimChar"/>
              </w:rP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2e. Script de reprodução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painel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mei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custo</w:t>
            </w:r>
            <w:r>
              <w:t xml:space="preserve"> </w:t>
            </w:r>
            <w:r>
              <w:t xml:space="preserve">etc.;</w:t>
            </w:r>
            <w:r>
              <w:t xml:space="preserve"> </w:t>
            </w:r>
            <w:r>
              <w:rPr>
                <w:rStyle w:val="VerbatimChar"/>
              </w:rPr>
              <w:t xml:space="preserve">artigo/analise_artigo.py</w:t>
            </w:r>
            <w:r>
              <w:t xml:space="preserve"> </w:t>
            </w:r>
            <w:r>
              <w:t xml:space="preserve">para as figuras desta versão (verifica o hash do tratamento)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</w:tr>
    </w:tbl>
    <w:bookmarkEnd w:id="21"/>
    <w:bookmarkStart w:id="22" w:name="módulo-3-qualidade-dos-dados"/>
    <w:p>
      <w:pPr>
        <w:pStyle w:val="Heading2"/>
      </w:pPr>
      <w:r>
        <w:t xml:space="preserve">Módulo 3 — Qualidade dos dados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3a. Fonte dos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SIH/SUS (DATASUS, via PySUS e FTP), Senatran, IBGE, CNPJ (Receita), INSS, PNAD Contínua, Prosus, Wayback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3b. Unidade de observação e moldura amostral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administrativo (não amostra): toda AIH do SUS, todo CNPJ. Unidade município × mês; universo de 1.710 municípios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§2.1, 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3c. Adequação dos dados à 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SIH cobre só SUS (não rede privada) e município de residência; MEI cobre minoria dos entregadores — por isso usa-se a data da quebra, não o 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§2.3,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3d. Variável de desfecho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por 100 mil motos de internações V20–V29 em trânsito; leitura do 4º dígito por categoria; causa externa em campo secundário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§2.2;</w:t>
            </w:r>
            <w:r>
              <w:t xml:space="preserve"> </w:t>
            </w:r>
            <w:r>
              <w:rPr>
                <w:rStyle w:val="VerbatimChar"/>
              </w:rPr>
              <w:t xml:space="preserve">src/vcemal/cid.py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3e. Tamanho da amostra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433.033 linhas de painel em 5.517 municípios; 640 tratados, 478 na janela balanceada; 510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§2.2, §3.4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3f. Dados faltantes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de 3.564 competências ausente (RR 2022-06, lacuna da fonte); 103 recuperadas do FTP; frota só desde jul/2016 (encurta a janela); população sem 2022–2023 (não interpolada)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§2.2; D-015, D-036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3g. Representatividade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 completo de municípios ≥ 20 mil, mas desbalanço regional dos tratados (NE/N 15–20% contra S/SE 73–78%) pode refletir propensão a formalizar, não chegada da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Tabela 4, §4</w:t>
            </w:r>
          </w:p>
        </w:tc>
      </w:tr>
    </w:tbl>
    <w:bookmarkEnd w:id="22"/>
    <w:bookmarkStart w:id="23" w:name="módulo-4-pré-processamento"/>
    <w:p>
      <w:pPr>
        <w:pStyle w:val="Heading2"/>
      </w:pPr>
      <w:r>
        <w:t xml:space="preserve">Módulo 4 — Pré-processamento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4a. Exclusões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Municípios &lt; 20 mil (regra não validada); 100 mil+ fora da estimação principal (placebo ≈ 25%); coortes fora da janela balanceada em robustez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§3.4; plano §4–5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4b. Dados impossíveis ou corrompidos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CAR_INT</w:t>
            </w:r>
            <w:r>
              <w:t xml:space="preserve"> </w:t>
            </w:r>
            <w:r>
              <w:t xml:space="preserve">vazio,</w:t>
            </w:r>
            <w:r>
              <w:t xml:space="preserve"> </w:t>
            </w:r>
            <w:r>
              <w:rPr>
                <w:rStyle w:val="VerbatimChar"/>
              </w:rPr>
              <w:t xml:space="preserve">00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99</w:t>
            </w:r>
            <w:r>
              <w:t xml:space="preserve"> </w:t>
            </w:r>
            <w:r>
              <w:t xml:space="preserve">não contam como preenchido; divergências do espelho Base dos Dados tratadas no adapter; municípios não casados reportados, nunca descartados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D-011, D-014, D-018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4c. Transformações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Deflação pelo IPCA (R$ dez/2025); conversão USD→BRL pela média mensal do BCB; ano fiscal → civil por interpolação declarada; agregação AIH → município × 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D-029, D-032</w:t>
            </w:r>
          </w:p>
        </w:tc>
      </w:tr>
    </w:tbl>
    <w:bookmarkEnd w:id="23"/>
    <w:bookmarkStart w:id="24" w:name="módulo-5-modelagem"/>
    <w:p>
      <w:pPr>
        <w:pStyle w:val="Heading2"/>
      </w:pPr>
      <w:r>
        <w:t xml:space="preserve">Módulo 5 — Modelagem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5a. Descrição do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(i) Regra de quebra: teste de Poisson sobre janelas de 6 meses contra linha de base de 24 meses; (ii) DiD escalonado Callaway &amp; Sant’Anna, Sun &amp; Abraham como robustez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§2.3–2.4;</w:t>
            </w:r>
            <w:r>
              <w:t xml:space="preserve"> </w:t>
            </w:r>
            <w:r>
              <w:rPr>
                <w:rStyle w:val="VerbatimChar"/>
              </w:rPr>
              <w:t xml:space="preserve">src/vcemal/mei.py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5b. Justificativa da escolha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Poisson: contagens raras; DiD-CS: heterogeneidade de timing;</w:t>
            </w:r>
            <w:r>
              <w:t xml:space="preserve"> </w:t>
            </w:r>
            <w:r>
              <w:rPr>
                <w:iCs/>
                <w:i/>
              </w:rPr>
              <w:t xml:space="preserve">not-yet-treated</w:t>
            </w:r>
            <w:r>
              <w:t xml:space="preserve"> </w:t>
            </w:r>
            <w:r>
              <w:t xml:space="preserve">evita comparar urbanização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§2.4; D-022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5c. Método de 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Regra: falso positivo em placebo pré-plataforma (2016) e atraso contra 65 datas externas (Wayback); auditoria cega de 75 municípios. DiD: pré-tendências, placebo V40–V49, teste de denominador endógeno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§2.3, §2.5; plano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5d. Seleção de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de 9 configurações avaliada só contra placebo e Wayback, nunca contra internação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5e. Hiperparâmetros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</w:t>
            </w:r>
            <w:r>
              <w:t xml:space="preserve"> </w:t>
            </w:r>
            <w:r>
              <w:t xml:space="preserve">= 2,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= 5, α = 0,01, base 24 m, janela 6 m; janela de evento [−12, +24]; semente 20261011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Artigo, Materiais complementares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5f.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comparada a alternativas da grade e à fonte anterior (codificação manual/Wayback, descartada); estimador principal comparado a TWFE implicitamente e a Sun &amp; Abraham (previsto)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D-039, D-040; plano §5</w:t>
            </w:r>
          </w:p>
        </w:tc>
      </w:tr>
    </w:tbl>
    <w:bookmarkEnd w:id="24"/>
    <w:bookmarkStart w:id="25" w:name="módulo-6-vazamento-de-dados-data-leakage"/>
    <w:p>
      <w:pPr>
        <w:pStyle w:val="Heading2"/>
      </w:pPr>
      <w:r>
        <w:t xml:space="preserve">Módulo 6 — Vazamento de dados (</w:t>
      </w:r>
      <w:r>
        <w:rPr>
          <w:iCs/>
          <w:i/>
        </w:rPr>
        <w:t xml:space="preserve">data leakage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6a. Separação entre dados de ajuste e de 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tratamento foi ajustado sem acesso ao desfecho e congelado com SHA-256 antes de qualquer cruzamento; o plano foi depositado no OSF antes da estimação. É a forma, em inferência causal, de separar</w:t>
            </w:r>
            <w:r>
              <w:t xml:space="preserve"> </w:t>
            </w:r>
            <w:r>
              <w:t xml:space="preserve">“</w:t>
            </w:r>
            <w:r>
              <w:t xml:space="preserve">treino</w:t>
            </w:r>
            <w:r>
              <w:t xml:space="preserve">”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t xml:space="preserve">“</w:t>
            </w:r>
            <w:r>
              <w:t xml:space="preserve">teste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§2.3–2.4; D-006, D-041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6b. Dependências e duplicidades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AIH duplicadas verificadas (impacto R$ 0,1 mi); dependência espacial tratada por cluster em região imediata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Pré-projeto; D-025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6c. Legitimidade das variáveis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usa só informação disponível no momento (aberturas até t+5, base passada); sem covariáveis pós-tratamento no estimando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§2.3–2.4</w:t>
            </w:r>
          </w:p>
        </w:tc>
      </w:tr>
    </w:tbl>
    <w:bookmarkEnd w:id="25"/>
    <w:bookmarkStart w:id="26" w:name="módulo-7-métricas-e-incerteza"/>
    <w:p>
      <w:pPr>
        <w:pStyle w:val="Heading2"/>
      </w:pPr>
      <w:r>
        <w:t xml:space="preserve">Módulo 7 — Métricas e incerteza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7a. Métricas de 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Regra: % de disparo no placebo, % de atraso contra Wayback, % de cobertura da lista do iFood, concordância na auditoria (≥ 2/3). Causal: ATT médio em [0, +24], em nível e em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§2.3–2.5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7b. Quantificação da incerteza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95% com cluster em 510 regiões imediatas e em município, lado a lado; wild bootstrap para coortes pequenas. A ser reportado na estimação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7c. Adequação dos testes estatísticos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bilateral pré-declarado; H1 única confirmatória; demais com critérios próprios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§5; D-043</w:t>
            </w:r>
          </w:p>
        </w:tc>
      </w:tr>
    </w:tbl>
    <w:bookmarkEnd w:id="26"/>
    <w:bookmarkStart w:id="27" w:name="módulo-8-generalização-e-limitações"/>
    <w:p>
      <w:pPr>
        <w:pStyle w:val="Heading2"/>
      </w:pPr>
      <w:r>
        <w:t xml:space="preserve">Módulo 8 — Generalização e limitações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8a. Validade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é de</w:t>
            </w:r>
            <w:r>
              <w:t xml:space="preserve"> </w:t>
            </w:r>
            <w:r>
              <w:t xml:space="preserve">“</w:t>
            </w:r>
            <w:r>
              <w:t xml:space="preserve">chegada de entregador formalizado</w:t>
            </w:r>
            <w:r>
              <w:t xml:space="preserve">”</w:t>
            </w:r>
            <w:r>
              <w:t xml:space="preserve"> </w:t>
            </w:r>
            <w:r>
              <w:t xml:space="preserve">em municípios de 20–100 mil; não se estende a capitais nem à plataforma X; é piso por três razões distintas (diluição, pré-período contaminado, denominador endógeno)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8b. Contextos em que os resultados não se generalizam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Municípios &lt; 20 mil; rede privada de saúde; óbitos pré-hospitalares (SIM, fora); entregadores de bicicleta para o desfecho principal; período pós-2021 com possível contaminação por 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§4; plano §4</w:t>
            </w:r>
          </w:p>
        </w:tc>
      </w:tr>
    </w:tbl>
    <w:p>
      <w:pPr>
        <w:pStyle w:val="BodyText"/>
      </w:pPr>
      <w:r>
        <w:rPr>
          <w:bCs/>
          <w:b/>
        </w:rPr>
        <w:t xml:space="preserve">Síntese.</w:t>
      </w:r>
      <w:r>
        <w:t xml:space="preserve"> </w:t>
      </w:r>
      <w:r>
        <w:t xml:space="preserve">29 itens atendidos, 3 parciais (3g, 5f, 7b), nenhum não atendido. Os parciais dependem da estimação causal, que é a etapa seguinte ao pré-registro.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REFORMS aplicado ao estudo</dc:title>
  <dc:creator>[NOMES DOS AUTORES] — UFPR</dc:creator>
  <dc:language>pt-BR</dc:language>
  <cp:keywords/>
  <dcterms:created xsi:type="dcterms:W3CDTF">2026-10-13T17:45:33Z</dcterms:created>
  <dcterms:modified xsi:type="dcterms:W3CDTF">2026-10-13T17:45:33Z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 de outubro de 2026</vt:lpwstr>
  </property>
  <property fmtid="{D5CDD505-2E9C-101B-9397-08002B2CF9AE}" pid="3" name="subtitle">
    <vt:lpwstr>Plataformas de entrega e internações de motociclistas no SUS — versão prévia</vt:lpwstr>
  </property>
</Properties>
</file>