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34.png" ContentType="image/png"/>
  <Override PartName="/word/media/rId30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Plataformas</w:t>
      </w:r>
      <w:r>
        <w:t xml:space="preserve"> </w:t>
      </w:r>
      <w:r>
        <w:t xml:space="preserve">de</w:t>
      </w:r>
      <w:r>
        <w:t xml:space="preserve"> </w:t>
      </w:r>
      <w:r>
        <w:t xml:space="preserve">entrega</w:t>
      </w:r>
      <w:r>
        <w:t xml:space="preserve"> </w:t>
      </w:r>
      <w:r>
        <w:t xml:space="preserve">e</w:t>
      </w:r>
      <w:r>
        <w:t xml:space="preserve"> </w:t>
      </w:r>
      <w:r>
        <w:t xml:space="preserve">internações</w:t>
      </w:r>
      <w:r>
        <w:t xml:space="preserve"> </w:t>
      </w:r>
      <w:r>
        <w:t xml:space="preserve">de</w:t>
      </w:r>
      <w:r>
        <w:t xml:space="preserve"> </w:t>
      </w:r>
      <w:r>
        <w:t xml:space="preserve">motociclistas</w:t>
      </w:r>
      <w:r>
        <w:t xml:space="preserve"> </w:t>
      </w:r>
      <w:r>
        <w:t xml:space="preserve">no</w:t>
      </w:r>
      <w:r>
        <w:t xml:space="preserve"> </w:t>
      </w:r>
      <w:r>
        <w:t xml:space="preserve">SUS:</w:t>
      </w:r>
      <w:r>
        <w:t xml:space="preserve"> </w:t>
      </w:r>
      <w:r>
        <w:t xml:space="preserve">carga,</w:t>
      </w:r>
      <w:r>
        <w:t xml:space="preserve"> </w:t>
      </w:r>
      <w:r>
        <w:t xml:space="preserve">custo</w:t>
      </w:r>
      <w:r>
        <w:t xml:space="preserve"> </w:t>
      </w:r>
      <w:r>
        <w:t xml:space="preserve">público</w:t>
      </w:r>
      <w:r>
        <w:t xml:space="preserve"> </w:t>
      </w:r>
      <w:r>
        <w:t xml:space="preserve">e</w:t>
      </w:r>
      <w:r>
        <w:t xml:space="preserve"> </w:t>
      </w:r>
      <w:r>
        <w:t xml:space="preserve">um</w:t>
      </w:r>
      <w:r>
        <w:t xml:space="preserve"> </w:t>
      </w:r>
      <w:r>
        <w:t xml:space="preserve">desenho</w:t>
      </w:r>
      <w:r>
        <w:t xml:space="preserve"> </w:t>
      </w:r>
      <w:r>
        <w:t xml:space="preserve">causal</w:t>
      </w:r>
      <w:r>
        <w:t xml:space="preserve"> </w:t>
      </w:r>
      <w:r>
        <w:t xml:space="preserve">pré-registrado</w:t>
      </w:r>
    </w:p>
    <w:p>
      <w:pPr>
        <w:pStyle w:val="Subtitle"/>
      </w:pPr>
      <w:r>
        <w:t xml:space="preserve">Versão</w:t>
      </w:r>
      <w:r>
        <w:t xml:space="preserve"> </w:t>
      </w:r>
      <w:r>
        <w:t xml:space="preserve">prévia</w:t>
      </w:r>
      <w:r>
        <w:t xml:space="preserve"> </w:t>
      </w:r>
      <w:r>
        <w:t xml:space="preserve">—</w:t>
      </w:r>
      <w:r>
        <w:t xml:space="preserve"> </w:t>
      </w:r>
      <w:r>
        <w:t xml:space="preserve">resultados</w:t>
      </w:r>
      <w:r>
        <w:t xml:space="preserve"> </w:t>
      </w:r>
      <w:r>
        <w:t xml:space="preserve">descritivos,</w:t>
      </w:r>
      <w:r>
        <w:t xml:space="preserve"> </w:t>
      </w:r>
      <w:r>
        <w:t xml:space="preserve">construção</w:t>
      </w:r>
      <w:r>
        <w:t xml:space="preserve"> </w:t>
      </w:r>
      <w:r>
        <w:t xml:space="preserve">do</w:t>
      </w:r>
      <w:r>
        <w:t xml:space="preserve"> </w:t>
      </w:r>
      <w:r>
        <w:t xml:space="preserve">tratamento</w:t>
      </w:r>
      <w:r>
        <w:t xml:space="preserve"> </w:t>
      </w:r>
      <w:r>
        <w:t xml:space="preserve">e</w:t>
      </w:r>
      <w:r>
        <w:t xml:space="preserve"> </w:t>
      </w: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identificação</w:t>
      </w:r>
    </w:p>
    <w:p>
      <w:pPr>
        <w:pStyle w:val="Author"/>
      </w:pPr>
      <w:r>
        <w:t xml:space="preserve">[NOMES</w:t>
      </w:r>
      <w:r>
        <w:t xml:space="preserve"> </w:t>
      </w:r>
      <w:r>
        <w:t xml:space="preserve">DOS</w:t>
      </w:r>
      <w:r>
        <w:t xml:space="preserve"> </w:t>
      </w:r>
      <w:r>
        <w:t xml:space="preserve">AUTORES]</w:t>
      </w:r>
      <w:r>
        <w:t xml:space="preserve"> </w:t>
      </w:r>
      <w:r>
        <w:t xml:space="preserve">—</w:t>
      </w:r>
      <w:r>
        <w:t xml:space="preserve"> </w:t>
      </w:r>
      <w:r>
        <w:t xml:space="preserve">Universidade</w:t>
      </w:r>
      <w:r>
        <w:t xml:space="preserve"> </w:t>
      </w:r>
      <w:r>
        <w:t xml:space="preserve">Federal</w:t>
      </w:r>
      <w:r>
        <w:t xml:space="preserve"> </w:t>
      </w:r>
      <w:r>
        <w:t xml:space="preserve">do</w:t>
      </w:r>
      <w:r>
        <w:t xml:space="preserve"> </w:t>
      </w:r>
      <w:r>
        <w:t xml:space="preserve">Paraná</w:t>
      </w:r>
      <w:r>
        <w:t xml:space="preserve"> </w:t>
      </w:r>
      <w:r>
        <w:t xml:space="preserve">(UFPR)</w:t>
      </w:r>
    </w:p>
    <w:p>
      <w:pPr>
        <w:pStyle w:val="Date"/>
      </w:pPr>
      <w:r>
        <w:t xml:space="preserve">13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Resumo.</w:t>
      </w:r>
      <w:r>
        <w:t xml:space="preserve"> </w:t>
      </w:r>
      <w:r>
        <w:rPr>
          <w:iCs/>
          <w:i/>
        </w:rPr>
        <w:t xml:space="preserve">Problema:</w:t>
      </w:r>
      <w:r>
        <w:t xml:space="preserve"> </w:t>
      </w:r>
      <w:r>
        <w:t xml:space="preserve">a expansão das plataformas de entrega com remuneração por corrida coincide com o crescimento das internações de motociclistas no Sistema Único de Saúde (SUS), mas nenhuma base administrativa pública liga uma internação ao trabalho por plataforma, e não há política pública permanente que regule esse risco ou proteja os entregadores — o que está em pauta é o vínculo empregatício.</w:t>
      </w:r>
      <w:r>
        <w:t xml:space="preserve"> </w:t>
      </w:r>
      <w:r>
        <w:rPr>
          <w:iCs/>
          <w:i/>
        </w:rPr>
        <w:t xml:space="preserve">Objetivo:</w:t>
      </w:r>
      <w:r>
        <w:t xml:space="preserve"> </w:t>
      </w:r>
      <w:r>
        <w:t xml:space="preserve">medir a carga e o custo público das internações de motociclistas, documentar a invisibilidade ocupacional desses casos nos registros oficiais e construir — antes de olhar o desfecho — um tratamento municipal datado que permita estimar o efeito causal da chegada do entregador por aplicativo.</w:t>
      </w:r>
      <w:r>
        <w:t xml:space="preserve"> </w:t>
      </w:r>
      <w:r>
        <w:rPr>
          <w:iCs/>
          <w:i/>
        </w:rPr>
        <w:t xml:space="preserve">Métodos:</w:t>
      </w:r>
      <w:r>
        <w:t xml:space="preserve"> </w:t>
      </w:r>
      <w:r>
        <w:t xml:space="preserve">painel município × mês (2015–2025) montado a partir dos microdados do SIH/SUS (3.563 de 3.564 competências; 433.033 linhas em 5.517 municípios), frota municipal do Senatran, benefícios do INSS, PNAD Contínua e relatórios da Prosus. O tratamento é o mês em que, em cada município, as aberturas de microempreendedor individual (MEI) na atividade de entrega dão um salto abrupto, ao menos o dobro do ritmo dos dois anos anteriores. A atividade é identificada pela CNAE (Classificação Nacional de Atividades Econômicas), o código que toda empresa declara à Receita Federal para dizer o que faz; o de entregadores é o 5320-2/02,</w:t>
      </w:r>
      <w:r>
        <w:t xml:space="preserve"> </w:t>
      </w:r>
      <w:r>
        <w:t xml:space="preserve">“</w:t>
      </w:r>
      <w:r>
        <w:t xml:space="preserve">serviços de entrega rápida</w:t>
      </w:r>
      <w:r>
        <w:t xml:space="preserve">”</w:t>
      </w:r>
      <w:r>
        <w:t xml:space="preserve">. O salto é detectado por uma regra baseada em teste de Poisson, cujos parâmetros foram calibrados contra um período anterior às plataformas (placebo) e contra datas de entrada conhecidas (Wayback Machine), nunca contra internações. O plano de análise (diferenças em diferenças com adoção escalonada, Callaway &amp; Sant’Anna) foi registrado no OSF antes de qualquer cruzamento tratamento × desfecho.</w:t>
      </w:r>
      <w:r>
        <w:t xml:space="preserve"> </w:t>
      </w:r>
      <w:r>
        <w:rPr>
          <w:iCs/>
          <w:i/>
        </w:rPr>
        <w:t xml:space="preserve">Resultados:</w:t>
      </w:r>
      <w:r>
        <w:t xml:space="preserve"> </w:t>
      </w:r>
      <w:r>
        <w:t xml:space="preserve">foram 965.714 internações de motociclistas em 2016–2023, das quais 62 (uma em 15.576) registram nexo ocupacional; o SUS pagou R$ 288 milhões com essas internações em 2025, enquanto o resultado operacional do iFood no mesmo ano foi de R$ 1,8 bilhão. A regra identifica esse salto em 640 municípios de 20 a 100 mil habitantes entre 2017 e 2025, com falso positivo de 0,7% a 3,8% no placebo; 478 entram na janela balanceada de estimação. Dois modelos complementares, sem uso do desfecho, avaliam o tratamento: uma simulação de Monte Carlo da regra reproduz o falso positivo observado abaixo de 100 mil habitantes (0,6% e 3,9% simulados contra 0,7% e 3,8% observados) e mostra que a regra é conservadora (detecta 22–54% dos saltos de 2 a 5 vezes em municípios de 50–100 mil); uma regressão logística de seleção (AUC de validação cruzada 0,91) mostra que Nordeste e Norte têm chance 17 a 34 vezes menor de receber data, mesmo controlando população e propensão pré-plataforma a abrir MEI.</w:t>
      </w:r>
      <w:r>
        <w:t xml:space="preserve"> </w:t>
      </w:r>
      <w:r>
        <w:rPr>
          <w:iCs/>
          <w:i/>
        </w:rPr>
        <w:t xml:space="preserve">Conclusão:</w:t>
      </w:r>
      <w:r>
        <w:t xml:space="preserve"> </w:t>
      </w:r>
      <w:r>
        <w:t xml:space="preserve">a carga é grande, crescente e invisível como acidente de trabalho; o desenho causal é viável e está travado por pré-registro. Esta versão entrega a parte descritiva e a construção do tratamento; a estimação causal é a etapa seguinte, já especificada.</w:t>
      </w:r>
    </w:p>
    <w:p>
      <w:pPr>
        <w:pStyle w:val="BodyTex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plataformas digitais; entregadores; acidentes de motocicleta; SIH/SUS; diferenças em diferenças; pré-registro.</w:t>
      </w:r>
    </w:p>
    <w:bookmarkStart w:id="20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O Brasil tem hoje cerca de 405 mil motociclistas cuja ocupação principal é mediada por plataforma digital, quase o dobro dos 211 mil de 2022 (PNAD Contínua, microdado, cálculo próprio). Esse contingente trabalha com 85% de informalidade, só 19% contribuem para a Previdência e ganham R$ 11,4 por hora — 62% do rendimento-hora do ocupado médio do setor privado, com cerca de cinco horas a mais por semana. No mesmo período, o líder do setor, o iFood, passou de prejuízo operacional para um resultado de R$ 2,0 bilhões no ano fiscal encerrado em março de 2026, com 1,9 bilhão de pedidos e 621 mil entregadores ativos.</w:t>
      </w:r>
    </w:p>
    <w:p>
      <w:pPr>
        <w:pStyle w:val="BodyText"/>
      </w:pPr>
      <w:r>
        <w:t xml:space="preserve">A remuneração por corrida cria incentivo direto à velocidade e ao volume. A hipótese deste trabalho é que a chegada do entregador remunerado por corrida a um município eleva a incidência de internações de motociclistas por acidente de trânsito, e que esse custo é absorvido pelo SUS sem contrapartida — no exato período em que o DPVAT, cujos 45% eram vinculados ao custeio dessas vítimas, foi extinto (2021), retirando cerca de R$ 580 milhões por ano do SUS (Ipea).</w:t>
      </w:r>
    </w:p>
    <w:p>
      <w:pPr>
        <w:pStyle w:val="BodyText"/>
      </w:pPr>
      <w:r>
        <w:t xml:space="preserve">O problema de identificação é duro. Primeiro,</w:t>
      </w:r>
      <w:r>
        <w:t xml:space="preserve"> </w:t>
      </w:r>
      <w:r>
        <w:rPr>
          <w:bCs/>
          <w:b/>
        </w:rPr>
        <w:t xml:space="preserve">o entregador de plataforma não existe como tal em nenhuma base administrativa pública</w:t>
      </w:r>
      <w:r>
        <w:t xml:space="preserve">: não há registro que ligue uma internação a uma plataforma. Segundo, as internações de motociclistas crescem desde antes das plataformas, puxadas pela motorização; uma correlação temporal nada prova. Terceiro, as plataformas entram primeiro nos municípios maiores e mais urbanizados, que diferem dos demais em tudo o que move acidentes.</w:t>
      </w:r>
    </w:p>
    <w:p>
      <w:pPr>
        <w:pStyle w:val="BodyText"/>
      </w:pPr>
      <w:r>
        <w:t xml:space="preserve">Este trabalho tem três objetivos: (i)</w:t>
      </w:r>
      <w:r>
        <w:t xml:space="preserve"> </w:t>
      </w:r>
      <w:r>
        <w:rPr>
          <w:bCs/>
          <w:b/>
        </w:rPr>
        <w:t xml:space="preserve">medir</w:t>
      </w:r>
      <w:r>
        <w:t xml:space="preserve"> </w:t>
      </w:r>
      <w:r>
        <w:t xml:space="preserve">a carga e o custo público das internações de motociclistas no SUS e sua invisibilidade como acidente de trabalho; (ii)</w:t>
      </w:r>
      <w:r>
        <w:t xml:space="preserve"> </w:t>
      </w:r>
      <w:r>
        <w:rPr>
          <w:bCs/>
          <w:b/>
        </w:rPr>
        <w:t xml:space="preserve">construir</w:t>
      </w:r>
      <w:r>
        <w:t xml:space="preserve"> </w:t>
      </w:r>
      <w:r>
        <w:t xml:space="preserve">um tratamento municipal datado — o mês de chegada do entregador por aplicativo — a partir de dados públicos, sem olhar o desfecho; e (iii)</w:t>
      </w:r>
      <w:r>
        <w:t xml:space="preserve"> </w:t>
      </w:r>
      <w:r>
        <w:rPr>
          <w:bCs/>
          <w:b/>
        </w:rPr>
        <w:t xml:space="preserve">especificar e pré-registrar</w:t>
      </w:r>
      <w:r>
        <w:t xml:space="preserve"> </w:t>
      </w:r>
      <w:r>
        <w:t xml:space="preserve">a estratégia de identificação causal. Por decisão metodológica deliberada, o cruzamento entre tratamento e desfecho só ocorre depois do depósito do plano de análise no OSF. Esta versão do artigo é, portanto, uma prévia: entrega (i) e (ii) completos, e (iii) como protocolo registrado, com a estimação como etapa seguinte.</w:t>
      </w:r>
    </w:p>
    <w:p>
      <w:pPr>
        <w:pStyle w:val="BodyText"/>
      </w:pPr>
      <w:r>
        <w:t xml:space="preserve">A contribuição é dupla. Substantivamente, o problema é a ausência de regulação: o seguro de acidentes obrigatório da Lei 14.297/2022 valeu só durante a emergência sanitária, e o que está em pauta hoje é o vínculo empregatício, cujo julgamento no STF está suspenso desde junho de 2026. Nenhuma regra em vigor obriga as plataformas a custear o risco de acidente que a remuneração por corrida cria, nem a proteger quem o corre. Este trabalho mede a carga e o custo público desse risco, que é a base que uma política precisa ter. Metodologicamente, propomos datar a chegada de uma tecnologia de trabalho não observada por uma quebra estrutural em registros de pessoa jurídica, com hiperparâmetros calibrados contra placebo e validação externa — uma solução reutilizável para outros fenômenos de plataformização.</w:t>
      </w:r>
    </w:p>
    <w:bookmarkEnd w:id="20"/>
    <w:bookmarkStart w:id="28" w:name="métodos"/>
    <w:p>
      <w:pPr>
        <w:pStyle w:val="Heading1"/>
      </w:pPr>
      <w:r>
        <w:t xml:space="preserve">2. Métodos</w:t>
      </w:r>
    </w:p>
    <w:p>
      <w:pPr>
        <w:pStyle w:val="FirstParagraph"/>
      </w:pPr>
      <w:r>
        <w:t xml:space="preserve">O trabalho segue o ciclo</w:t>
      </w:r>
      <w:r>
        <w:t xml:space="preserve"> </w:t>
      </w:r>
      <w:r>
        <w:rPr>
          <w:iCs/>
          <w:i/>
        </w:rPr>
        <w:t xml:space="preserve">Explore → Refine → Model → Evaluate → Produce</w:t>
      </w:r>
      <w:r>
        <w:t xml:space="preserve">. A Tabela M1 mapeia cada etapa ao que foi feito e ao artefato que a reproduz no repositório (</w:t>
      </w:r>
      <w:r>
        <w:rPr>
          <w:rStyle w:val="VerbatimChar"/>
        </w:rPr>
        <w:t xml:space="preserve">github.com/mrcsvg/vcemal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foi 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de 6 blocos de fontes; diagnóstico dos campos de causa externa, do quarto dígito do CID e do</w:t>
            </w:r>
            <w:r>
              <w:t xml:space="preserve"> </w:t>
            </w:r>
            <w:r>
              <w:rPr>
                <w:rStyle w:val="VerbatimChar"/>
              </w:rPr>
              <w:t xml:space="preserve">CAR_INT</w:t>
            </w:r>
            <w:r>
              <w:t xml:space="preserve">; estudo de evento exploratório MEI × Wayback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docs/anexo-a-…md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diagnostico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de caso em código testado; união ordenada de campos de diagnóstico; ponte de municípios Senatran↔IBGE revisada; recuperação de 103 competências faltantes; deflação pelo IPCA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src/vcemal/cid.py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municipios.py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detecção de quebra (Poisson) com busca em grade de hiperparâmetros; especificação do estimador DiD escalonado; regressão logística de seleção ao tratamento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src/vcemal/mei.py</w:t>
            </w:r>
            <w:r>
              <w:t xml:space="preserve">, plano de análise §5,</w:t>
            </w:r>
            <w:r>
              <w:t xml:space="preserve"> </w:t>
            </w:r>
            <w:r>
              <w:rPr>
                <w:rStyle w:val="VerbatimChar"/>
              </w:rPr>
              <w:t xml:space="preserve">artigo/modelos_artigo.py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Placebo pré-plataforma (2016), concordância com Wayback, simulação de Monte Carlo da regra (falso positivo e poder), validação cruzada do modelo de seleção, auditoria cega pré-declarada, testes de falha do desenho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mei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auditoria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artigo/modelos_artigo.py</w:t>
            </w:r>
            <w:r>
              <w:t xml:space="preserve">, plano 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Tabelas de custo, lacuna, PNAD, lucro e tratamento; figuras; este artigo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custo lacuna pnad lucro contraste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artigo/analise_artigo.py</w:t>
            </w:r>
          </w:p>
        </w:tc>
      </w:tr>
    </w:tbl>
    <w:bookmarkStart w:id="21" w:name="dados"/>
    <w:p>
      <w:pPr>
        <w:pStyle w:val="Heading2"/>
      </w:pPr>
      <w:r>
        <w:t xml:space="preserve">2.1 Dados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SIH/SUS — AIH reduzida (RD), DATASUS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Desfecho: internações, valor pago,</w:t>
            </w:r>
            <w:r>
              <w:t xml:space="preserve"> </w:t>
            </w:r>
            <w:r>
              <w:rPr>
                <w:rStyle w:val="VerbatimChar"/>
              </w:rPr>
              <w:t xml:space="preserve">CAR_INT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AIH → município de residência ×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2015-01 a 2025-12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Senatran — frota por município e 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Denominador (motos que casam com V20–V29)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 ×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2016-07 a 2025-12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IBGE — Censo 2022 e estimativas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Universo, faixas, controles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 ×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Receita Federal — dados abertos do CNPJ (set/2026)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Tratamento: aberturas de MEI CNAE 5320-2/02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estabelecimento → município × 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2015–2025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INSS — benefícios concedidos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Lacuna previdenciária (espécies acidentárias × previdenciárias)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 ×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PNAD Contínua — módulo de 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Precariedade do 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Brasil, região, 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4T2022, 3T2024, 3T2025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Prosus — planilhas de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Receita, resultado, pedidos e entregadores do iFood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 × ano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FY2019–FY2026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Wayback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externa das datas (Rappi, Uber Eats)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 × intervalo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2019–2023</w:t>
            </w:r>
          </w:p>
        </w:tc>
      </w:tr>
    </w:tbl>
    <w:p>
      <w:pPr>
        <w:pStyle w:val="BodyText"/>
      </w:pPr>
      <w:r>
        <w:t xml:space="preserve">Todas as fontes são públicas. Nenhum microdado é versionado; o repositório contém o código que os reconstrói (</w:t>
      </w:r>
      <w:r>
        <w:rPr>
          <w:rStyle w:val="VerbatimChar"/>
        </w:rPr>
        <w:t xml:space="preserve">Makefile</w:t>
      </w:r>
      <w:r>
        <w:t xml:space="preserve">). A única exceção são transcrições de números publicados (Prosus, com citação por célula) e o arquivo de tratamento congelado.</w:t>
      </w:r>
    </w:p>
    <w:bookmarkEnd w:id="21"/>
    <w:bookmarkStart w:id="22" w:name="exploração-e-preparação-explore-refine"/>
    <w:p>
      <w:pPr>
        <w:pStyle w:val="Heading2"/>
      </w:pPr>
      <w:r>
        <w:t xml:space="preserve">2.2 Exploração e preparação (Explore / Refine)</w:t>
      </w:r>
    </w:p>
    <w:p>
      <w:pPr>
        <w:pStyle w:val="FirstParagraph"/>
      </w:pPr>
      <w:r>
        <w:t xml:space="preserve">A exploração do SIH revelou três armadilhas que, sem tratamento, invalidariam o desfecho. Cada uma virou regra em código, com teste automatizado: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causa externa não está no diagnóstico principal.</w:t>
      </w:r>
      <w:r>
        <w:t xml:space="preserve"> </w:t>
      </w:r>
      <w:r>
        <w:t xml:space="preserve">Pela norma do SIH, o principal registra a lesão (capítulo XIX, S/T) e o código V vai para o secundário. Filtrar</w:t>
      </w:r>
      <w:r>
        <w:t xml:space="preserve"> </w:t>
      </w:r>
      <w:r>
        <w:rPr>
          <w:rStyle w:val="VerbatimChar"/>
        </w:rPr>
        <w:t xml:space="preserve">DIAG_PRINC</w:t>
      </w:r>
      <w:r>
        <w:t xml:space="preserve"> </w:t>
      </w:r>
      <w:r>
        <w:t xml:space="preserve">devolve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internações de motociclista em todo ano (Tabela 1). O caso é identificado pela varredura ordenada</w:t>
      </w:r>
      <w:r>
        <w:t xml:space="preserve"> </w:t>
      </w:r>
      <w:r>
        <w:rPr>
          <w:rStyle w:val="VerbatimChar"/>
        </w:rPr>
        <w:t xml:space="preserve">DIAG_SECUN → DIAGSEC1..9 → DIAG_PRINC</w:t>
      </w:r>
      <w:r>
        <w:t xml:space="preserve">, ficando com o primeiro código que cai na definição de caso.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quarto dígito do CID tem duas tabelas.</w:t>
      </w:r>
      <w:r>
        <w:t xml:space="preserve"> </w:t>
      </w:r>
      <w:r>
        <w:t xml:space="preserve">Nas categorias terminais (V19, V29, V49),</w:t>
      </w:r>
      <w:r>
        <w:t xml:space="preserve"> </w:t>
      </w:r>
      <w:r>
        <w:rPr>
          <w:rStyle w:val="VerbatimChar"/>
        </w:rPr>
        <w:t xml:space="preserve">.3</w:t>
      </w:r>
      <w:r>
        <w:t xml:space="preserve"> </w:t>
      </w:r>
      <w:r>
        <w:t xml:space="preserve">significa acidente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de trânsito. Uma regra única classificaria 60.511 AIH (6,3% do desfecho em 2016–2023) indevidamente como trânsito. V29 sozinha é 67% das internações de motociclista.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 denominador tem que casar com o numerador.</w:t>
      </w:r>
      <w:r>
        <w:t xml:space="preserve"> </w:t>
      </w:r>
      <w:r>
        <w:t xml:space="preserve">V20–V29 inclui motoneta, ciclomotor e side-car, e exclui triciclo. Usar só a coluna</w:t>
      </w:r>
      <w:r>
        <w:t xml:space="preserve"> </w:t>
      </w:r>
      <w:r>
        <w:rPr>
          <w:rStyle w:val="VerbatimChar"/>
        </w:rPr>
        <w:t xml:space="preserve">MOTOCICLETA</w:t>
      </w:r>
      <w:r>
        <w:t xml:space="preserve"> </w:t>
      </w:r>
      <w:r>
        <w:t xml:space="preserve">do Senatran inflaria a taxa em ~19% (Curitiba, dez/2023).</w:t>
      </w:r>
    </w:p>
    <w:p>
      <w:pPr>
        <w:pStyle w:val="FirstParagraph"/>
      </w:pPr>
      <w:r>
        <w:t xml:space="preserve">Além disso: a ponte de nomes de município Senatran→IBGE usa normalização exata mais uma tabela revisada à mão (fuzzy matching foi testado e errou 5 de 39 casos, todos municípios renomeados); 103 competências ausentes do espelho do PySUS foram recuperadas do FTP do DATASUS; resta uma competência faltante (RR, 2022-06), lacuna da própria fonte. Valores monetários são deflacionados pelo IPCA para R$ de dez/2025.</w:t>
      </w:r>
    </w:p>
    <w:p>
      <w:pPr>
        <w:pStyle w:val="BodyText"/>
      </w:pPr>
      <w:r>
        <w:rPr>
          <w:bCs/>
          <w:b/>
        </w:rPr>
        <w:t xml:space="preserve">Tabela 1 — Onde está o código de causa externa (SIH, Brasil).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Motociclista pela causa externa (varredura)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Motociclista em</w:t>
            </w:r>
            <w:r>
              <w:t xml:space="preserve"> </w:t>
            </w:r>
            <w:r>
              <w:rPr>
                <w:rStyle w:val="VerbatimChar"/>
              </w:rPr>
              <w:t xml:space="preserve">DIAG_PRINC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Definição de caso.</w:t>
      </w:r>
      <w:r>
        <w:t xml:space="preserve"> </w:t>
      </w:r>
      <w:r>
        <w:t xml:space="preserve">Desfecho: V20–V29 em trânsito (motociclista). Teste do mecanismo: V10–V19 (ciclista, que responde ao mesmo incentivo sem comprar veículo). Placebo: V40–V49 (ocupante de automóvel). O desfecho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restrito a condutor: o quarto dígito</w:t>
      </w:r>
      <w:r>
        <w:t xml:space="preserve"> </w:t>
      </w:r>
      <w:r>
        <w:rPr>
          <w:rStyle w:val="VerbatimChar"/>
        </w:rPr>
        <w:t xml:space="preserve">.4</w:t>
      </w:r>
      <w:r>
        <w:t xml:space="preserve"> </w:t>
      </w:r>
      <w:r>
        <w:t xml:space="preserve">é só 9,4% dos casos (</w:t>
      </w:r>
      <w:r>
        <w:rPr>
          <w:rStyle w:val="VerbatimChar"/>
        </w:rPr>
        <w:t xml:space="preserve">.9</w:t>
      </w:r>
      <w:r>
        <w:t xml:space="preserve">, não especificado, é 69,5%), e a prática de codificar</w:t>
      </w:r>
      <w:r>
        <w:t xml:space="preserve"> </w:t>
      </w:r>
      <w:r>
        <w:rPr>
          <w:rStyle w:val="VerbatimChar"/>
        </w:rPr>
        <w:t xml:space="preserve">.4</w:t>
      </w:r>
      <w:r>
        <w:t xml:space="preserve"> </w:t>
      </w:r>
      <w:r>
        <w:t xml:space="preserve">varia por hospital de forma correlacionada com urbanização — o mesmo fator que atrai a plataforma.</w:t>
      </w:r>
    </w:p>
    <w:bookmarkEnd w:id="22"/>
    <w:bookmarkStart w:id="23" w:name="construção-do-tratamento-model"/>
    <w:p>
      <w:pPr>
        <w:pStyle w:val="Heading2"/>
      </w:pPr>
      <w:r>
        <w:t xml:space="preserve">2.3 Construção do tratamento (Model)</w:t>
      </w:r>
    </w:p>
    <w:p>
      <w:pPr>
        <w:pStyle w:val="FirstParagraph"/>
      </w:pPr>
      <w:r>
        <w:rPr>
          <w:bCs/>
          <w:b/>
        </w:rPr>
        <w:t xml:space="preserve">O evento é a chegada do entregador remunerado por corrida, não a do aplicativo.</w:t>
      </w:r>
      <w:r>
        <w:t xml:space="preserve"> </w:t>
      </w:r>
      <w:r>
        <w:t xml:space="preserve">O iFood operou como</w:t>
      </w:r>
      <w:r>
        <w:t xml:space="preserve"> </w:t>
      </w:r>
      <w:r>
        <w:rPr>
          <w:iCs/>
          <w:i/>
        </w:rPr>
        <w:t xml:space="preserve">marketplace</w:t>
      </w:r>
      <w:r>
        <w:t xml:space="preserve"> </w:t>
      </w:r>
      <w:r>
        <w:t xml:space="preserve">de 2011 a 2017 (o restaurante entregava) e só passou a ter frota própria em 2018. Notícias locais datam a chegada do aplicativo, não da frota; uma tentativa de datar pela lista de cidades arquivada na Wayback Machine mostrou que a página do iFood era do lado do consumidor, inservível.</w:t>
      </w:r>
    </w:p>
    <w:p>
      <w:pPr>
        <w:pStyle w:val="BodyText"/>
      </w:pPr>
      <w:r>
        <w:t xml:space="preserve">A solução foi usar o cadastro de pessoas jurídicas. Entregadores que se formalizam abrem MEI no CNAE 5320-2/02 (</w:t>
      </w:r>
      <w:r>
        <w:t xml:space="preserve">“</w:t>
      </w:r>
      <w:r>
        <w:t xml:space="preserve">serviços de entrega rápida</w:t>
      </w:r>
      <w:r>
        <w:t xml:space="preserve">”</w:t>
      </w:r>
      <w:r>
        <w:t xml:space="preserve">), com endereço na residência — o mesmo município de residência que o SIH registra. No universo, as aberturas passam de 19,4 mil (2017) para 40,2 mil (2018) e 50,4 mil (2019): dobram no ano em que o iFood monta a frota própria, enquanto o MEI em geral cresceu 14–21%. O cadastro guarda CNPJs baixados com a data de início, sem viés de sobrevivência. Como o MEI cobre a minoria dos entregadores, usa-se a</w:t>
      </w:r>
      <w:r>
        <w:t xml:space="preserve"> </w:t>
      </w:r>
      <w:r>
        <w:rPr>
          <w:bCs/>
          <w:b/>
        </w:rPr>
        <w:t xml:space="preserve">data da quebra</w:t>
      </w:r>
      <w:r>
        <w:t xml:space="preserve">, não o nível.</w:t>
      </w:r>
    </w:p>
    <w:p>
      <w:pPr>
        <w:pStyle w:val="BodyText"/>
      </w:pPr>
      <w:r>
        <w:rPr>
          <w:bCs/>
          <w:b/>
        </w:rPr>
        <w:t xml:space="preserve">Regra de detecção.</w:t>
      </w:r>
      <w:r>
        <w:t xml:space="preserve"> </w:t>
      </w:r>
      <w:r>
        <w:t xml:space="preserve">Para cada município e mês candidato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(2017-01 a 2025-06), seja</w:t>
      </w:r>
      <w:r>
        <w:t xml:space="preserve"> </w:t>
      </w:r>
      <w:r>
        <w:rPr>
          <w:iCs/>
          <w:i/>
        </w:rPr>
        <w:t xml:space="preserve">W</w:t>
      </w:r>
      <w:r>
        <w:rPr>
          <w:vertAlign w:val="subscript"/>
        </w:rPr>
        <w:t xml:space="preserve">t</w:t>
      </w:r>
      <w:r>
        <w:t xml:space="preserve"> </w:t>
      </w:r>
      <w:r>
        <w:t xml:space="preserve">o total de aberturas em [</w:t>
      </w:r>
      <w:r>
        <w:rPr>
          <w:iCs/>
          <w:i/>
        </w:rPr>
        <w:t xml:space="preserve">t</w:t>
      </w:r>
      <w:r>
        <w:t xml:space="preserve">,</w:t>
      </w:r>
      <w:r>
        <w:t xml:space="preserve"> </w:t>
      </w:r>
      <w:r>
        <w:rPr>
          <w:iCs/>
          <w:i/>
        </w:rPr>
        <w:t xml:space="preserve">t</w:t>
      </w:r>
      <w:r>
        <w:t xml:space="preserve">+5] e λ</w:t>
      </w:r>
      <w:r>
        <w:rPr>
          <w:vertAlign w:val="subscript"/>
        </w:rPr>
        <w:t xml:space="preserve">t</w:t>
      </w:r>
      <w:r>
        <w:t xml:space="preserve"> </w:t>
      </w:r>
      <w:r>
        <w:t xml:space="preserve">= 6 × (média mensal de aberturas em [</w:t>
      </w:r>
      <w:r>
        <w:rPr>
          <w:iCs/>
          <w:i/>
        </w:rPr>
        <w:t xml:space="preserve">t</w:t>
      </w:r>
      <w:r>
        <w:t xml:space="preserve">−24,</w:t>
      </w:r>
      <w:r>
        <w:t xml:space="preserve"> </w:t>
      </w:r>
      <w:r>
        <w:rPr>
          <w:iCs/>
          <w:i/>
        </w:rPr>
        <w:t xml:space="preserve">t</w:t>
      </w:r>
      <w:r>
        <w:t xml:space="preserve">−1]) a expectativa sob a linha de base dos 24 meses anteriores (piso de meia abertura). A quebra dispara no primeiro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com</w:t>
      </w:r>
    </w:p>
    <w:p>
      <w:pPr>
        <w:pStyle w:val="BlockText"/>
      </w:pPr>
      <w:r>
        <w:rPr>
          <w:iCs/>
          <w:i/>
        </w:rPr>
        <w:t xml:space="preserve">W</w:t>
      </w:r>
      <w:r>
        <w:rPr>
          <w:vertAlign w:val="subscript"/>
        </w:rPr>
        <w:t xml:space="preserve">t</w:t>
      </w:r>
      <w:r>
        <w:t xml:space="preserve"> </w:t>
      </w:r>
      <w:r>
        <w:t xml:space="preserve">≥</w:t>
      </w:r>
      <w:r>
        <w:t xml:space="preserve"> </w:t>
      </w:r>
      <w:r>
        <w:rPr>
          <w:iCs/>
          <w:i/>
        </w:rPr>
        <w:t xml:space="preserve">N</w:t>
      </w:r>
      <w:r>
        <w:t xml:space="preserve">,</w:t>
      </w:r>
      <w:r>
        <w:t xml:space="preserve"> </w:t>
      </w:r>
      <w:r>
        <w:rPr>
          <w:iCs/>
          <w:i/>
        </w:rPr>
        <w:t xml:space="preserve">W</w:t>
      </w:r>
      <w:r>
        <w:rPr>
          <w:vertAlign w:val="subscript"/>
        </w:rPr>
        <w:t xml:space="preserve">t</w:t>
      </w:r>
      <w:r>
        <w:t xml:space="preserve"> </w:t>
      </w:r>
      <w:r>
        <w:t xml:space="preserve">≥</w:t>
      </w:r>
      <w:r>
        <w:t xml:space="preserve"> </w:t>
      </w:r>
      <w:r>
        <w:rPr>
          <w:iCs/>
          <w:i/>
        </w:rPr>
        <w:t xml:space="preserve">k</w:t>
      </w:r>
      <w:r>
        <w:t xml:space="preserve">·λ</w:t>
      </w:r>
      <w:r>
        <w:rPr>
          <w:vertAlign w:val="subscript"/>
        </w:rPr>
        <w:t xml:space="preserve">t</w:t>
      </w:r>
      <w:r>
        <w:t xml:space="preserve"> </w:t>
      </w:r>
      <w:r>
        <w:t xml:space="preserve">e P(Poisson(λ</w:t>
      </w:r>
      <w:r>
        <w:rPr>
          <w:vertAlign w:val="subscript"/>
        </w:rPr>
        <w:t xml:space="preserve">t</w:t>
      </w:r>
      <w:r>
        <w:t xml:space="preserve">) ≥</w:t>
      </w:r>
      <w:r>
        <w:t xml:space="preserve"> </w:t>
      </w:r>
      <w:r>
        <w:rPr>
          <w:iCs/>
          <w:i/>
        </w:rPr>
        <w:t xml:space="preserve">W</w:t>
      </w:r>
      <w:r>
        <w:rPr>
          <w:vertAlign w:val="subscript"/>
        </w:rPr>
        <w:t xml:space="preserve">t</w:t>
      </w:r>
      <w:r>
        <w:t xml:space="preserve">) &lt; 0,01,</w:t>
      </w:r>
    </w:p>
    <w:p>
      <w:pPr>
        <w:pStyle w:val="FirstParagraph"/>
      </w:pPr>
      <w:r>
        <w:t xml:space="preserve">e o mês de tratamento é o primeiro mês de [</w:t>
      </w:r>
      <w:r>
        <w:rPr>
          <w:iCs/>
          <w:i/>
        </w:rPr>
        <w:t xml:space="preserve">t</w:t>
      </w:r>
      <w:r>
        <w:t xml:space="preserve">,</w:t>
      </w:r>
      <w:r>
        <w:t xml:space="preserve"> </w:t>
      </w:r>
      <w:r>
        <w:rPr>
          <w:iCs/>
          <w:i/>
        </w:rPr>
        <w:t xml:space="preserve">t</w:t>
      </w:r>
      <w:r>
        <w:t xml:space="preserve">+5] com abertura.</w:t>
      </w:r>
    </w:p>
    <w:p>
      <w:pPr>
        <w:pStyle w:val="BodyText"/>
      </w:pPr>
      <w:r>
        <w:rPr>
          <w:bCs/>
          <w:b/>
        </w:rPr>
        <w:t xml:space="preserve">Calibração dos hiperparâmetros.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foram escolhidos por busca em grade,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∈ {1,5; 2; 3} ×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∈ {3; 5; 8}, avaliada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contra (a) um placebo pré-plataforma — a taxa de quebras detectadas em jan–jun/2016, quando nenhuma plataforma tinha frota própria — e (b) 65 datas de entrada de Rappi e Uber Eats com confiança C extraídas da Wayback Machine, além da lista de 453 cidades com frota do iFood. Nenhuma métrica usou internações.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= 3 deixava 63% das entradas conhecidas sem quebra ou com quebra tardia;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= 1,5 disparava mais no placebo. A configuração escolhida,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= 2,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5, tem 7,7% de atraso nas 65 entradas e detecta quebra até dez/2023 em 85% das 453 cidades da lista de frota do iFood.</w:t>
      </w:r>
    </w:p>
    <w:p>
      <w:pPr>
        <w:pStyle w:val="BodyText"/>
      </w:pPr>
      <w:r>
        <w:rPr>
          <w:bCs/>
          <w:b/>
        </w:rPr>
        <w:t xml:space="preserve">Congelamento.</w:t>
      </w:r>
      <w:r>
        <w:t xml:space="preserve"> </w:t>
      </w:r>
      <w:r>
        <w:t xml:space="preserve">O arquivo resultante (</w:t>
      </w:r>
      <w:r>
        <w:rPr>
          <w:rStyle w:val="VerbatimChar"/>
        </w:rPr>
        <w:t xml:space="preserve">docs/fontes/cronologia/tratamento_mei_municipio.csv</w:t>
      </w:r>
      <w:r>
        <w:t xml:space="preserve">) foi congelado com SHA-256</w:t>
      </w:r>
      <w:r>
        <w:t xml:space="preserve"> </w:t>
      </w:r>
      <w:r>
        <w:rPr>
          <w:rStyle w:val="VerbatimChar"/>
        </w:rPr>
        <w:t xml:space="preserve">128999bd…7654a2</w:t>
      </w:r>
      <w:r>
        <w:t xml:space="preserve"> </w:t>
      </w:r>
      <w:r>
        <w:t xml:space="preserve">antes de qualquer cruzamento com o SIH; o script desta versão verifica o hash antes de rodar.</w:t>
      </w:r>
    </w:p>
    <w:bookmarkEnd w:id="23"/>
    <w:bookmarkStart w:id="25" w:name="X683c61a9d6e3855cb875d0d94a0b17131063f5b"/>
    <w:p>
      <w:pPr>
        <w:pStyle w:val="Heading2"/>
      </w:pPr>
      <w:r>
        <w:t xml:space="preserve">2.4 Estratégia de identificação (pré-registrada)</w:t>
      </w:r>
    </w:p>
    <w:p>
      <w:pPr>
        <w:pStyle w:val="FirstParagraph"/>
      </w:pPr>
      <w:r>
        <w:rPr>
          <w:bCs/>
          <w:b/>
        </w:rPr>
        <w:t xml:space="preserve">Desenho.</w:t>
      </w:r>
      <w:r>
        <w:t xml:space="preserve"> </w:t>
      </w:r>
      <w:r>
        <w:t xml:space="preserve">Diferenças em diferenças com adoção escalonada, unidade município × mês, estimador de Callaway &amp; Sant’Anna (2021) como principal — o estimador de efeitos fixos bidirecionais (TWFE) é inconsistente com efeitos heterogêneos no tempo de adoção (Goodman-Bacon, 2021) — e Sun &amp; Abraham (2021) como robustez.</w:t>
      </w:r>
    </w:p>
    <w:p>
      <w:pPr>
        <w:pStyle w:val="BodyText"/>
      </w:pPr>
      <w:r>
        <w:rPr>
          <w:bCs/>
          <w:b/>
        </w:rPr>
        <w:t xml:space="preserve">Desfecho:</w:t>
      </w:r>
      <w:r>
        <w:t xml:space="preserve"> </w:t>
      </w:r>
      <w:r>
        <w:rPr>
          <w:iCs/>
          <w:i/>
        </w:rPr>
        <w:t xml:space="preserve">Y</w:t>
      </w:r>
      <w:r>
        <w:rPr>
          <w:vertAlign w:val="subscript"/>
        </w:rPr>
        <w:t xml:space="preserve">it</w:t>
      </w:r>
      <w:r>
        <w:t xml:space="preserve"> </w:t>
      </w:r>
      <w:r>
        <w:t xml:space="preserve">= 100.000 × internações em trânsito</w:t>
      </w:r>
      <w:r>
        <w:rPr>
          <w:vertAlign w:val="subscript"/>
        </w:rPr>
        <w:t xml:space="preserve">it</w:t>
      </w:r>
      <w:r>
        <w:t xml:space="preserve"> </w:t>
      </w:r>
      <w:r>
        <w:t xml:space="preserve">/ frota de motos</w:t>
      </w:r>
      <w:r>
        <w:rPr>
          <w:vertAlign w:val="subscript"/>
        </w:rPr>
        <w:t xml:space="preserve">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Estimando principal (H1):</w:t>
      </w:r>
      <w:r>
        <w:t xml:space="preserve"> </w:t>
      </w:r>
      <w:r>
        <w:t xml:space="preserve">média simples dos ATT(</w:t>
      </w:r>
      <w:r>
        <w:rPr>
          <w:iCs/>
          <w:i/>
        </w:rPr>
        <w:t xml:space="preserve">e</w:t>
      </w:r>
      <w:r>
        <w:t xml:space="preserve">) para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∈ [0, +24] meses na janela balanceada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∈ [−12, +24], sem covariáveis, também em % da média pré-tratamento dos tratados.</w:t>
      </w:r>
      <w:r>
        <w:t xml:space="preserve"> </w:t>
      </w:r>
      <w:r>
        <w:rPr>
          <w:bCs/>
          <w:b/>
        </w:rPr>
        <w:t xml:space="preserve">Grupo de comparação:</w:t>
      </w:r>
      <w:r>
        <w:t xml:space="preserve"> </w:t>
      </w:r>
      <w:r>
        <w:rPr>
          <w:iCs/>
          <w:i/>
        </w:rPr>
        <w:t xml:space="preserve">not-yet-treated</w:t>
      </w:r>
      <w:r>
        <w:t xml:space="preserve"> </w:t>
      </w:r>
      <w:r>
        <w:t xml:space="preserve">(municípios ainda não tratados), entre</w:t>
      </w:r>
      <w:r>
        <w:t xml:space="preserve"> </w:t>
      </w:r>
      <w:r>
        <w:rPr>
          <w:rStyle w:val="VerbatimChar"/>
        </w:rPr>
        <w:t xml:space="preserve">datado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— comparar com nunca tratados compararia urbanização, não plataforma.</w:t>
      </w:r>
      <w:r>
        <w:t xml:space="preserve"> </w:t>
      </w:r>
      <w:r>
        <w:rPr>
          <w:bCs/>
          <w:b/>
        </w:rPr>
        <w:t xml:space="preserve">Erros-padrão:</w:t>
      </w:r>
      <w:r>
        <w:t xml:space="preserve"> </w:t>
      </w:r>
      <w:r>
        <w:t xml:space="preserve">agrupados nas 510 regiões imediatas do IBGE, porque entregador e paciente circulam na região; cluster em município aparece ao lado, na tabela principal.</w:t>
      </w:r>
      <w:r>
        <w:t xml:space="preserve"> </w:t>
      </w:r>
      <w:r>
        <w:rPr>
          <w:bCs/>
          <w:b/>
        </w:rPr>
        <w:t xml:space="preserve">Inferência:</w:t>
      </w:r>
      <w:r>
        <w:t xml:space="preserve"> </w:t>
      </w:r>
      <w:r>
        <w:t xml:space="preserve">bilateral a 5%; H1 é sustentada se o estimando for positivo e o IC 95% excluir zero.</w:t>
      </w:r>
    </w:p>
    <w:p>
      <w:pPr>
        <w:pStyle w:val="BodyText"/>
      </w:pPr>
      <w:r>
        <w:rPr>
          <w:bCs/>
          <w:b/>
        </w:rPr>
        <w:t xml:space="preserve">Hipóteses secundárias:</w:t>
      </w:r>
      <w:r>
        <w:t xml:space="preserve"> </w:t>
      </w:r>
      <w:r>
        <w:t xml:space="preserve">H2 — gradiente do efeito na intensidade (tercis de aberturas de MEI por mil habitantes nos 12 meses após a quebra); H3 — concentração em homens de 18–39 anos, o perfil do trabalho de entrega (50,4% do desfecho), contra o complemento; H5 — o mesmo estimando aplicado às</w:t>
      </w:r>
      <w:r>
        <w:t xml:space="preserve"> </w:t>
      </w:r>
      <w:r>
        <w:rPr>
          <w:bCs/>
          <w:b/>
        </w:rPr>
        <w:t xml:space="preserve">mortes</w:t>
      </w:r>
      <w:r>
        <w:t xml:space="preserve"> </w:t>
      </w:r>
      <w:r>
        <w:t xml:space="preserve">de motociclistas em trânsito no SIM, por 100 mil motos, em dois desfechos: mortes totais (H5a) e mortes fora de estabelecimento de saúde (H5b,</w:t>
      </w:r>
      <w:r>
        <w:t xml:space="preserve"> </w:t>
      </w:r>
      <w:r>
        <w:rPr>
          <w:rStyle w:val="VerbatimChar"/>
        </w:rPr>
        <w:t xml:space="preserve">LOCOCOR</w:t>
      </w:r>
      <w:r>
        <w:t xml:space="preserve">), que o SIH não vê por construção. H5 é secundária, com poder declaradamente baixo; o SIM ainda não foi extraído e nunca foi cruzado com o tratamento.</w:t>
      </w:r>
      <w:r>
        <w:t xml:space="preserve"> </w:t>
      </w:r>
      <w:r>
        <w:rPr>
          <w:bCs/>
          <w:b/>
        </w:rPr>
        <w:t xml:space="preserve">H4</w:t>
      </w:r>
      <w:r>
        <w:t xml:space="preserve">, descritiva e fora do desenho causal, é o subregistro do nexo ocupacional no SIH (</w:t>
      </w:r>
      <w:r>
        <w:rPr>
          <w:rStyle w:val="VerbatimChar"/>
        </w:rPr>
        <w:t xml:space="preserve">CAR_INT</w:t>
      </w:r>
      <w:r>
        <w:t xml:space="preserve">) e no SIM (</w:t>
      </w:r>
      <w:r>
        <w:rPr>
          <w:rStyle w:val="VerbatimChar"/>
        </w:rPr>
        <w:t xml:space="preserve">ACIDTRAB</w:t>
      </w:r>
      <w:r>
        <w:t xml:space="preserve">), entre homens de 18–39 anos, por ano e UF.</w:t>
      </w:r>
    </w:p>
    <w:p>
      <w:pPr>
        <w:pStyle w:val="BodyText"/>
      </w:pPr>
      <w:r>
        <w:rPr>
          <w:bCs/>
          <w:b/>
        </w:rPr>
        <w:t xml:space="preserve">Testes de falha declarados antes:</w:t>
      </w:r>
      <w:r>
        <w:t xml:space="preserve"> </w:t>
      </w:r>
      <w:r>
        <w:t xml:space="preserve">(1) placebo em ocupantes de automóvel indistinguível do efeito em motociclistas → tendência geral de trânsito; (2) pré-tendências não paralelas → sem leitura causal; (3)</w:t>
      </w:r>
      <w:r>
        <w:t xml:space="preserve"> </w:t>
      </w:r>
      <w:r>
        <w:rPr>
          <w:bCs/>
          <w:b/>
        </w:rPr>
        <w:t xml:space="preserve">denominador endógeno</w:t>
      </w:r>
      <w:r>
        <w:t xml:space="preserve"> </w:t>
      </w:r>
      <w:r>
        <w:t xml:space="preserve">— o mesmo estimador com a frota de motos como desfecho; se o efeito percentual sobre a frota for ao menos metade do efeito sobre internações, a taxa deixa de ser interpretável e o resultado principal passa a ser a contagem.</w:t>
      </w:r>
    </w:p>
    <w:p>
      <w:pPr>
        <w:pStyle w:val="BodyText"/>
      </w:pPr>
      <w:r>
        <w:rPr>
          <w:bCs/>
          <w:b/>
        </w:rPr>
        <w:t xml:space="preserve">Pré-registro.</w:t>
      </w:r>
      <w:r>
        <w:t xml:space="preserve"> </w:t>
      </w:r>
      <w:r>
        <w:t xml:space="preserve">O plano de análise (seções 1–8, com tradução para o inglês), o protocolo de auditoria e o log de decisões datadas (até D-045) foram depositados no OSF Registries (modelo</w:t>
      </w:r>
      <w:r>
        <w:t xml:space="preserve"> </w:t>
      </w:r>
      <w:r>
        <w:rPr>
          <w:iCs/>
          <w:i/>
        </w:rPr>
        <w:t xml:space="preserve">OSF Preregistration</w:t>
      </w:r>
      <w:r>
        <w:t xml:space="preserve">) (doi:</w:t>
      </w:r>
      <w:r>
        <w:t xml:space="preserve"> </w:t>
      </w:r>
      <w:hyperlink r:id="rId24">
        <w:r>
          <w:rPr>
            <w:rStyle w:val="Hyperlink"/>
          </w:rPr>
          <w:t xml:space="preserve">10.17605/OSF.IO/V82JE</w:t>
        </w:r>
      </w:hyperlink>
      <w:r>
        <w:t xml:space="preserve">), apontando para a tag</w:t>
      </w:r>
      <w:r>
        <w:t xml:space="preserve"> </w:t>
      </w:r>
      <w:r>
        <w:rPr>
          <w:rStyle w:val="VerbatimChar"/>
        </w:rPr>
        <w:t xml:space="preserve">pre-registro-v1</w:t>
      </w:r>
      <w:r>
        <w:t xml:space="preserve"> </w:t>
      </w:r>
      <w:r>
        <w:t xml:space="preserve">do repositório. Todo desvio posterior vai para o log como análise exploratória declarada.</w:t>
      </w:r>
    </w:p>
    <w:bookmarkEnd w:id="25"/>
    <w:bookmarkStart w:id="26" w:name="avaliação-do-tratamento-auditoria-cega"/>
    <w:p>
      <w:pPr>
        <w:pStyle w:val="Heading2"/>
      </w:pPr>
      <w:r>
        <w:t xml:space="preserve">2.5 Avaliação do tratamento: auditoria cega</w:t>
      </w:r>
    </w:p>
    <w:p>
      <w:pPr>
        <w:pStyle w:val="FirstParagraph"/>
      </w:pPr>
      <w:r>
        <w:t xml:space="preserve">A regra de quebra é testada por busca independente: amostra sorteada com semente fixa (20261011) de 6 municípios</w:t>
      </w:r>
      <w:r>
        <w:t xml:space="preserve"> </w:t>
      </w:r>
      <w:r>
        <w:rPr>
          <w:rStyle w:val="VerbatimChar"/>
        </w:rPr>
        <w:t xml:space="preserve">datado</w:t>
      </w:r>
      <w:r>
        <w:t xml:space="preserve"> </w:t>
      </w:r>
      <w:r>
        <w:t xml:space="preserve">por faixa de população em cada estrato de ano (2017; 2018–2020; 2021–2025), 12 iscas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e as 27 capitais — 75 municípios, numa lista única. Dois codificadores, cegos ao SIH, à data da quebra e ao grupo, datam a entrada das plataformas pelo protocolo v1.1. Concorda a quebra que cai no intervalo codificado ±6 meses; o estrato passa com</w:t>
      </w:r>
      <w:r>
        <w:t xml:space="preserve"> </w:t>
      </w:r>
      <w:r>
        <w:rPr>
          <w:bCs/>
          <w:b/>
        </w:rPr>
        <w:t xml:space="preserve">taxa de coincidência</w:t>
      </w:r>
      <w:r>
        <w:t xml:space="preserve"> </w:t>
      </w:r>
      <w:r>
        <w:t xml:space="preserve">(concordantes sobre achados) de ao menos 2/3, e é inconclusivo — não auditado — com menos de 6 achados. Não encontrar evidência é resultado previsto em municípios pequenos, e não conta contra nem a favor da regra: por isso cada estrato reporta também a</w:t>
      </w:r>
      <w:r>
        <w:t xml:space="preserve"> </w:t>
      </w:r>
      <w:r>
        <w:rPr>
          <w:bCs/>
          <w:b/>
        </w:rPr>
        <w:t xml:space="preserve">taxa de achado</w:t>
      </w:r>
      <w:r>
        <w:t xml:space="preserve"> </w:t>
      </w:r>
      <w:r>
        <w:t xml:space="preserve">(achados sobre sorteados) e a coincidência com intervalo de Wilson de 95%. As consequências de cada veredito (excluir quebras de 2017 ou de 2021+; ou rebaixar a leitura para</w:t>
      </w:r>
      <w:r>
        <w:t xml:space="preserve"> </w:t>
      </w:r>
      <w:r>
        <w:t xml:space="preserve">“</w:t>
      </w:r>
      <w:r>
        <w:t xml:space="preserve">efeito da chegada de entregador formalizado</w:t>
      </w:r>
      <w:r>
        <w:t xml:space="preserve">”</w:t>
      </w:r>
      <w:r>
        <w:t xml:space="preserve">) foram escritas antes da auditoria começar.</w:t>
      </w:r>
    </w:p>
    <w:bookmarkEnd w:id="26"/>
    <w:bookmarkStart w:id="27" w:name="Xf2d9e1919c82b4317694da72f270f723557bb59"/>
    <w:p>
      <w:pPr>
        <w:pStyle w:val="Heading2"/>
      </w:pPr>
      <w:r>
        <w:t xml:space="preserve">2.6 Modelos complementares sobre o tratamento (exploratórios, sem desfecho)</w:t>
      </w:r>
    </w:p>
    <w:p>
      <w:pPr>
        <w:pStyle w:val="FirstParagraph"/>
      </w:pPr>
      <w:r>
        <w:t xml:space="preserve">Dois modelos avaliam o tratamento construído antes da estimação causal. Nenhum usa internações; ambos leem só o arquivo congelado e foram registrados no log de decisões como análise exploratória (D-046).</w:t>
      </w:r>
    </w:p>
    <w:p>
      <w:pPr>
        <w:pStyle w:val="BodyText"/>
      </w:pPr>
      <w:r>
        <w:rPr>
          <w:bCs/>
          <w:b/>
        </w:rPr>
        <w:t xml:space="preserve">(a) Simulação de Monte Carlo da regra de quebra.</w:t>
      </w:r>
      <w:r>
        <w:t xml:space="preserve"> </w:t>
      </w:r>
      <w:r>
        <w:t xml:space="preserve">O mesmo código que gerou o tratamento (</w:t>
      </w:r>
      <w:r>
        <w:rPr>
          <w:rStyle w:val="VerbatimChar"/>
        </w:rPr>
        <w:t xml:space="preserve">vcemal.mei.detectar_quebra</w:t>
      </w:r>
      <w:r>
        <w:t xml:space="preserve">) é aplicado a séries sintéticas. Para cada um dos 1.710 municípios, a taxa mensal de aberturas é a observada em 2015–2016 (antes de qualquer plataforma; piso de 0,5 abertura em 24 meses, como na regra). Dois experimentos: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Falso positivo:</w:t>
      </w:r>
      <w:r>
        <w:t xml:space="preserve"> </w:t>
      </w:r>
      <w:r>
        <w:t xml:space="preserve">séries sem quebra, de 2014-01 a 2016-12, com 200 réplicas por município, contando quebras na janela do placebo (jan–jun/2016). O nulo é Poisson puro e, depois, gama-Poisson com choques mensais de variância relativa 0,25, 0,5 e 1,0, que representam aceleração local que não é plataforma.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Poder:</w:t>
      </w:r>
      <w:r>
        <w:t xml:space="preserve"> </w:t>
      </w:r>
      <w:r>
        <w:t xml:space="preserve">séries de 2015-01 a 2025-12 com um salto de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vezes na taxa em 2019-01,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∈ {2, 3, 5, 10, 20}, com 50 réplicas por município de 20–100 mil. Acerto é a quebra datada entre 5 meses antes (a regra data o primeiro mês da janela com abertura) e 12 meses depois do salto; quebra antes disso é espúria e esconde a verdadeira, porque a regra fica com a primeira.</w:t>
      </w:r>
    </w:p>
    <w:p>
      <w:pPr>
        <w:pStyle w:val="FirstParagraph"/>
      </w:pPr>
      <w:r>
        <w:rPr>
          <w:bCs/>
          <w:b/>
        </w:rPr>
        <w:t xml:space="preserve">(b) Modelo de seleção ao tratamento.</w:t>
      </w:r>
      <w:r>
        <w:t xml:space="preserve"> </w:t>
      </w:r>
      <w:r>
        <w:t xml:space="preserve">Entre os 1.391 municípios de 20–100 mil, uma regressão logística estima a probabilidade de receber data (</w:t>
      </w:r>
      <w:r>
        <w:rPr>
          <w:rStyle w:val="VerbatimChar"/>
        </w:rPr>
        <w:t xml:space="preserve">datado</w:t>
      </w:r>
      <w:r>
        <w:t xml:space="preserve"> </w:t>
      </w:r>
      <w:r>
        <w:t xml:space="preserve">= 1,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= 0) em três especificações aninhadas: M1, log da população; M2, mais a grande região (referência: Sudeste); M3, mais o log das aberturas de MEI de entrega por ano em 2015–2016, que mede a propensão a formalizar entregadores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das plataformas. Os erros-padrão são agrupados por UF (27 grupos). O poder preditivo é medido pela AUC em validação cruzada estratificada de 5 partes, repetida 10 vezes (semente 20261013). A pergunta não é causal: é se o desbalanço regional da Tabela 4 se explica por porte ou por propensão prévia à formalização — o que diria se os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são bons controles.</w:t>
      </w:r>
    </w:p>
    <w:bookmarkEnd w:id="27"/>
    <w:bookmarkEnd w:id="28"/>
    <w:bookmarkStart w:id="53" w:name="resultados"/>
    <w:p>
      <w:pPr>
        <w:pStyle w:val="Heading1"/>
      </w:pPr>
      <w:r>
        <w:t xml:space="preserve">3. Resultados</w:t>
      </w:r>
    </w:p>
    <w:p>
      <w:pPr>
        <w:pStyle w:val="FirstParagraph"/>
      </w:pPr>
      <w:r>
        <w:t xml:space="preserve">Os resultados abaixo são descritivos ou referem-se à construção do tratamento.</w:t>
      </w:r>
      <w:r>
        <w:t xml:space="preserve"> </w:t>
      </w:r>
      <w:r>
        <w:rPr>
          <w:bCs/>
          <w:b/>
        </w:rPr>
        <w:t xml:space="preserve">Nenhum cruza tratamento com desfecho</w:t>
      </w:r>
      <w:r>
        <w:t xml:space="preserve">, por regra do pré-registro.</w:t>
      </w:r>
    </w:p>
    <w:bookmarkStart w:id="29" w:name="carga-e-custo-público"/>
    <w:p>
      <w:pPr>
        <w:pStyle w:val="Heading2"/>
      </w:pPr>
      <w:r>
        <w:t xml:space="preserve">3.1 Carga e custo público</w:t>
      </w:r>
    </w:p>
    <w:p>
      <w:pPr>
        <w:pStyle w:val="FirstParagraph"/>
      </w:pPr>
      <w:r>
        <w:t xml:space="preserve">Em 2016–2023 o SUS registrou</w:t>
      </w:r>
      <w:r>
        <w:t xml:space="preserve"> </w:t>
      </w:r>
      <w:r>
        <w:rPr>
          <w:bCs/>
          <w:b/>
        </w:rPr>
        <w:t xml:space="preserve">965.714 internações de motociclistas</w:t>
      </w:r>
      <w:r>
        <w:t xml:space="preserve">; 145.761 só em 2023. O valor pago pelo SUS em 2023 foi de R$ 230,1 milhões nominais (R$ 1.575 por AIH). Como validação externa, a tabulação da Abramet sobre o mesmo SIH dá R$ 221,5 milhões (+3,9%) e R$ 1.561 por AIH (+0,9%); a diferença está na contagem, e a hipótese é safra do dado (reapresentações posteriores). Em 2025, a preços de dez/2025, o SUS pagou</w:t>
      </w:r>
      <w:r>
        <w:t xml:space="preserve"> </w:t>
      </w:r>
      <w:r>
        <w:rPr>
          <w:bCs/>
          <w:b/>
        </w:rPr>
        <w:t xml:space="preserve">R$ 288 milhões</w:t>
      </w:r>
      <w:r>
        <w:t xml:space="preserve">.</w:t>
      </w:r>
    </w:p>
    <w:p>
      <w:pPr>
        <w:pStyle w:val="BodyText"/>
      </w:pPr>
      <w:r>
        <w:t xml:space="preserve">O valor pago é piso: a tabela SUS remunera abaixo do custo, e o componente hospitalar por ferido grave nos parâmetros do Ipea (TD 2565) é duas ordens de grandeza maior que o valor médio da AIH. Por isso o custo social (Ipea) é reportado à parte, como ordem de grandeza, e nunca somado ao valor pago.</w:t>
      </w:r>
    </w:p>
    <w:bookmarkEnd w:id="29"/>
    <w:bookmarkStart w:id="33" w:name="invisibilidade-ocupacional"/>
    <w:p>
      <w:pPr>
        <w:pStyle w:val="Heading2"/>
      </w:pPr>
      <w:r>
        <w:t xml:space="preserve">3.2 Invisibilidade ocupacional</w:t>
      </w:r>
    </w:p>
    <w:p>
      <w:pPr>
        <w:pStyle w:val="FirstParagraph"/>
      </w:pPr>
      <w:r>
        <w:t xml:space="preserve">Das 965.714 internações de 2016–2023,</w:t>
      </w:r>
      <w:r>
        <w:t xml:space="preserve"> </w:t>
      </w:r>
      <w:r>
        <w:rPr>
          <w:bCs/>
          <w:b/>
        </w:rPr>
        <w:t xml:space="preserve">62</w:t>
      </w:r>
      <w:r>
        <w:t xml:space="preserve"> </w:t>
      </w:r>
      <w:r>
        <w:t xml:space="preserve">têm o campo</w:t>
      </w:r>
      <w:r>
        <w:t xml:space="preserve"> </w:t>
      </w:r>
      <w:r>
        <w:rPr>
          <w:rStyle w:val="VerbatimChar"/>
        </w:rPr>
        <w:t xml:space="preserve">CAR_INT</w:t>
      </w:r>
      <w:r>
        <w:t xml:space="preserve"> </w:t>
      </w:r>
      <w:r>
        <w:t xml:space="preserve">preenchido como acidente no local de trabalho (17) ou de trajeto (45):</w:t>
      </w:r>
      <w:r>
        <w:t xml:space="preserve"> </w:t>
      </w:r>
      <w:r>
        <w:rPr>
          <w:bCs/>
          <w:b/>
        </w:rPr>
        <w:t xml:space="preserve">uma em 15.576</w:t>
      </w:r>
      <w:r>
        <w:t xml:space="preserve"> </w:t>
      </w:r>
      <w:r>
        <w:t xml:space="preserve">(Figura 4). Em 2023 foram 10. O grupo placebo (ocupantes de automóvel) teve zero.</w:t>
      </w:r>
    </w:p>
    <w:p>
      <w:pPr>
        <w:pStyle w:val="CaptionedFigure"/>
      </w:pPr>
      <w:r>
        <w:drawing>
          <wp:inline>
            <wp:extent cx="4533900" cy="1660363"/>
            <wp:effectExtent b="0" l="0" r="0" t="0"/>
            <wp:docPr descr="Uma internação de motociclista em 15.576 registra o trabalho como causa (SIH/SUS, 2016–2023)." title="" id="31" name="Picture"/>
            <a:graphic>
              <a:graphicData uri="http://schemas.openxmlformats.org/drawingml/2006/picture">
                <pic:pic>
                  <pic:nvPicPr>
                    <pic:cNvPr descr="figuras/fig4_nex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6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Uma internação de motociclista em 15.576 registra o trabalho como causa (SIH/SUS, 2016–2023).</w:t>
      </w:r>
    </w:p>
    <w:p>
      <w:pPr>
        <w:pStyle w:val="BodyText"/>
      </w:pPr>
      <w:r>
        <w:t xml:space="preserve">A Previdência repete a cegueira. De 2019 a 2023 houve de 5 a 7 benefícios do INSS com CID V20–V29 por mil internações de motociclista no SIH, e só 1 a 1,3 por mil com nexo acidentário reconhecido. Em 2024–2025 a razão salta para 12,5 e 15,4 por mil, mas a exploração mostrou que se trata de</w:t>
      </w:r>
      <w:r>
        <w:t xml:space="preserve"> </w:t>
      </w:r>
      <w:r>
        <w:rPr>
          <w:bCs/>
          <w:b/>
        </w:rPr>
        <w:t xml:space="preserve">quebra de série</w:t>
      </w:r>
      <w:r>
        <w:t xml:space="preserve">, não de mudança de risco: a partir de nov/2023 a concessão por análise documental (Atestmed) passa a dominar, e o atestado registra o código V muito mais que a perícia (0,6–0,7 contra 0,03–0,13 por mil benefícios). Esse canal responde por 65% dos benefícios de motociclistas em 2024–2025; anos dos dois lados da quebra não se comparam pelo total.</w:t>
      </w:r>
    </w:p>
    <w:bookmarkEnd w:id="33"/>
    <w:bookmarkStart w:id="37" w:name="precariedade-e-lucro"/>
    <w:p>
      <w:pPr>
        <w:pStyle w:val="Heading2"/>
      </w:pPr>
      <w:r>
        <w:t xml:space="preserve">3.3 Precariedade e lucro</w:t>
      </w:r>
    </w:p>
    <w:p>
      <w:pPr>
        <w:pStyle w:val="FirstParagraph"/>
      </w:pPr>
      <w:r>
        <w:rPr>
          <w:bCs/>
          <w:b/>
        </w:rPr>
        <w:t xml:space="preserve">Tabela 2 — Motociclistas plataformizados (PNAD Contínua, microdado; R$ do 3T2025).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Pessoas (mil)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Contribuem para a Previdência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Horas por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Rendimento-hora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Rendimento-hora real, setor privado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R$ 17,7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R$ 18,4</w:t>
            </w:r>
          </w:p>
        </w:tc>
      </w:tr>
    </w:tbl>
    <w:p>
      <w:pPr>
        <w:pStyle w:val="BodyText"/>
      </w:pPr>
      <w:r>
        <w:t xml:space="preserve">O pipeline reproduz, com erro de arredondamento, todos os números do informativo do IBGE para 2024 (1.654 mil plataformizados; 71,1% informais; 35,9% contribuintes; R$ 15,4/h), o que valida o recorte novo de motociclistas, que o IBGE não publica. Com 84% de informalidade, não há folha sobre a qual incida a contribuição de Riscos Ambientais do Trabalho (RAT) que financia o benefício acidentário de trabalhadores formais.</w:t>
      </w:r>
    </w:p>
    <w:p>
      <w:pPr>
        <w:pStyle w:val="CaptionedFigure"/>
      </w:pPr>
      <w:r>
        <w:drawing>
          <wp:inline>
            <wp:extent cx="5334000" cy="2274875"/>
            <wp:effectExtent b="0" l="0" r="0" t="0"/>
            <wp:docPr descr="iFood segundo as planilhas de KPI da Prosus: resultado operacional em R$ de dez/2025 (esq.) e entregadores ativos e pedidos (dir.), por ano fiscal abril–março. A série de resultado emenda trading profit (até FY2024) e EBIT ajustado (a partir de FY2025)." title="" id="35" name="Picture"/>
            <a:graphic>
              <a:graphicData uri="http://schemas.openxmlformats.org/drawingml/2006/picture">
                <pic:pic>
                  <pic:nvPicPr>
                    <pic:cNvPr descr="figuras/fig3_ifoo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iFood segundo as planilhas de KPI da Prosus: resultado operacional em R$ de dez/2025 (esq.) e entregadores ativos e pedidos (dir.), por ano fiscal abril–março. A série de resultado emenda</w:t>
      </w:r>
      <w:r>
        <w:t xml:space="preserve"> </w:t>
      </w:r>
      <w:r>
        <w:rPr>
          <w:iCs/>
          <w:i/>
        </w:rPr>
        <w:t xml:space="preserve">trading profit</w:t>
      </w:r>
      <w:r>
        <w:t xml:space="preserve"> </w:t>
      </w:r>
      <w:r>
        <w:t xml:space="preserve">(até FY2024) e EBIT ajustado (a partir de FY2025).</w:t>
      </w:r>
    </w:p>
    <w:p>
      <w:pPr>
        <w:pStyle w:val="BodyText"/>
      </w:pPr>
      <w:r>
        <w:t xml:space="preserve">O resultado operacional do iFood cruza o zero em FY2024 e quase quadruplica em dois anos; os entregadores ativos dobram de 314 mil para 621 mil (Figura 3). No ano civil de 2025 (interpolado), o EBIT ajustado de R$ 1,8 bilhão é cerca de</w:t>
      </w:r>
      <w:r>
        <w:t xml:space="preserve"> </w:t>
      </w:r>
      <w:r>
        <w:rPr>
          <w:bCs/>
          <w:b/>
        </w:rPr>
        <w:t xml:space="preserve">seis vezes</w:t>
      </w:r>
      <w:r>
        <w:t xml:space="preserve"> </w:t>
      </w:r>
      <w:r>
        <w:t xml:space="preserve">o que o SUS pagou com todas as internações de motociclistas do país no mesmo ano (R$ 288 milhões, ambos em R$ de dez/2025). Com ~1,7 bilhão de pedidos no ano, menos de R$ 0,20 por pedido cobriria essa conta. Esse número dimensiona uma política, mas não a justifica: a fração das internações atribuível à plataforma é exatamente o que a estimação causal vai medir.</w:t>
      </w:r>
    </w:p>
    <w:bookmarkEnd w:id="37"/>
    <w:bookmarkStart w:id="44" w:name="o-tratamento-construído"/>
    <w:p>
      <w:pPr>
        <w:pStyle w:val="Heading2"/>
      </w:pPr>
      <w:r>
        <w:t xml:space="preserve">3.4 O tratamento construído</w:t>
      </w:r>
    </w:p>
    <w:p>
      <w:pPr>
        <w:pStyle w:val="FirstParagraph"/>
      </w:pPr>
      <w:r>
        <w:rPr>
          <w:bCs/>
          <w:b/>
        </w:rPr>
        <w:t xml:space="preserve">Tabela 3 — Grupos do tratamento por faixa de população (Censo 2022) e taxa de disparo do placebo de 2016.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sem_quebra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coorte_precoce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Placebo 2016 dispara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20–50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50–100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100–250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 mil+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 taxa de falso positivo do placebo define onde a regra vale. Abaixo de 100 mil habitantes ela é baixa (0,7% e 3,8%); acima, com muitas aberturas, qualquer aceleração local passa no teste (≈ 25%). Por isso os 319 municípios de 100 mil+ — todos com iFood já em 2019 — formam uma</w:t>
      </w:r>
      <w:r>
        <w:t xml:space="preserve"> </w:t>
      </w:r>
      <w:r>
        <w:rPr>
          <w:bCs/>
          <w:b/>
        </w:rPr>
        <w:t xml:space="preserve">coorte precoce</w:t>
      </w:r>
      <w:r>
        <w:t xml:space="preserve"> </w:t>
      </w:r>
      <w:r>
        <w:t xml:space="preserve">fora da estimação principal, e a variação temporal vem dos 640 municípios</w:t>
      </w:r>
      <w:r>
        <w:t xml:space="preserve"> </w:t>
      </w:r>
      <w:r>
        <w:rPr>
          <w:rStyle w:val="VerbatimChar"/>
        </w:rPr>
        <w:t xml:space="preserve">datado</w:t>
      </w:r>
      <w:r>
        <w:t xml:space="preserve"> </w:t>
      </w:r>
      <w:r>
        <w:t xml:space="preserve">de 20–100 mil.</w:t>
      </w:r>
    </w:p>
    <w:p>
      <w:pPr>
        <w:pStyle w:val="CaptionedFigure"/>
      </w:pPr>
      <w:r>
        <w:drawing>
          <wp:inline>
            <wp:extent cx="5067300" cy="2681622"/>
            <wp:effectExtent b="0" l="0" r="0" t="0"/>
            <wp:docPr descr="Ano da quebra nos 640 municípios datado. Faixa cinza escura: 2017, estrato de risco de quebra espúria (antes da frota própria do iFood); cinza claro: 2021–2025, risco de contaminação pela entrega de comércio eletrônico." title="" id="39" name="Picture"/>
            <a:graphic>
              <a:graphicData uri="http://schemas.openxmlformats.org/drawingml/2006/picture">
                <pic:pic>
                  <pic:nvPicPr>
                    <pic:cNvPr descr="figuras/fig1_coort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8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Ano da quebra nos 640 municípios</w:t>
      </w:r>
      <w:r>
        <w:t xml:space="preserve"> </w:t>
      </w:r>
      <w:r>
        <w:rPr>
          <w:rStyle w:val="VerbatimChar"/>
        </w:rPr>
        <w:t xml:space="preserve">datado</w:t>
      </w:r>
      <w:r>
        <w:t xml:space="preserve">. Faixa cinza escura: 2017, estrato de risco de quebra espúria (antes da frota própria do iFood); cinza claro: 2021–2025, risco de contaminação pela entrega de comércio eletrônico.</w:t>
      </w:r>
    </w:p>
    <w:p>
      <w:pPr>
        <w:pStyle w:val="BodyText"/>
      </w:pPr>
      <w:r>
        <w:t xml:space="preserve">As quebras se espalham por todo o período (Figura 1), com pico em 2018–2021 — coerente com o</w:t>
      </w:r>
      <w:r>
        <w:t xml:space="preserve"> </w:t>
      </w:r>
      <w:r>
        <w:rPr>
          <w:iCs/>
          <w:i/>
        </w:rPr>
        <w:t xml:space="preserve">rollout</w:t>
      </w:r>
      <w:r>
        <w:t xml:space="preserve"> </w:t>
      </w:r>
      <w:r>
        <w:t xml:space="preserve">da frota própria do iFood (cerca de 900 municípios em 2019 e 1.500 em 2023–2025). A Figura 2 mostra a adoção escalonada: ao fim de 2025, 46% dos 1.391 municípios de 20–100 mil estão tratados, o que preserva um grupo</w:t>
      </w:r>
      <w:r>
        <w:t xml:space="preserve"> </w:t>
      </w:r>
      <w:r>
        <w:rPr>
          <w:iCs/>
          <w:i/>
        </w:rPr>
        <w:t xml:space="preserve">not-yet-treated</w:t>
      </w:r>
      <w:r>
        <w:t xml:space="preserve"> </w:t>
      </w:r>
      <w:r>
        <w:t xml:space="preserve">ao longo de toda a janela.</w:t>
      </w:r>
    </w:p>
    <w:p>
      <w:pPr>
        <w:pStyle w:val="CaptionedFigure"/>
      </w:pPr>
      <w:r>
        <w:drawing>
          <wp:inline>
            <wp:extent cx="5065776" cy="2566416"/>
            <wp:effectExtent b="0" l="0" r="0" t="0"/>
            <wp:docPr descr="Proporção acumulada de municípios de 20–100 mil habitantes já tratados. Em verde, as coortes que cabem na janela balanceada de estimação." title="" id="42" name="Picture"/>
            <a:graphic>
              <a:graphicData uri="http://schemas.openxmlformats.org/drawingml/2006/picture">
                <pic:pic>
                  <pic:nvPicPr>
                    <pic:cNvPr descr="figuras/fig2_adocao_acumulad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776" cy="256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Proporção acumulada de municípios de 20–100 mil habitantes já tratados. Em verde, as coortes que cabem na janela balanceada de estimação.</w:t>
      </w:r>
    </w:p>
    <w:p>
      <w:pPr>
        <w:pStyle w:val="BodyText"/>
      </w:pPr>
      <w:r>
        <w:rPr>
          <w:bCs/>
          <w:b/>
        </w:rPr>
        <w:t xml:space="preserve">Janela de estimação.</w:t>
      </w:r>
      <w:r>
        <w:t xml:space="preserve"> </w:t>
      </w:r>
      <w:r>
        <w:t xml:space="preserve">Com a frota municipal começando em jul/2016 e o SIH terminando em dez/2025, a janela balanceada [−12, +24] admite coortes de 2017-07 a 2023-12:</w:t>
      </w:r>
      <w:r>
        <w:t xml:space="preserve"> </w:t>
      </w:r>
      <w:r>
        <w:rPr>
          <w:bCs/>
          <w:b/>
        </w:rPr>
        <w:t xml:space="preserve">478 dos 640</w:t>
      </w:r>
      <w:r>
        <w:t xml:space="preserve"> </w:t>
      </w:r>
      <w:r>
        <w:t xml:space="preserve">municípios</w:t>
      </w:r>
      <w:r>
        <w:t xml:space="preserve"> </w:t>
      </w:r>
      <w:r>
        <w:rPr>
          <w:rStyle w:val="VerbatimChar"/>
        </w:rPr>
        <w:t xml:space="preserve">datado</w:t>
      </w:r>
      <w:r>
        <w:t xml:space="preserve">. Ficam de fora 50 com quebra anterior e 112 com quebra posterior, que voltam nas versões não balanceada e de contagem.</w:t>
      </w:r>
    </w:p>
    <w:p>
      <w:pPr>
        <w:pStyle w:val="BodyText"/>
      </w:pPr>
      <w:r>
        <w:rPr>
          <w:bCs/>
          <w:b/>
        </w:rPr>
        <w:t xml:space="preserve">Tabela 4 — Grupos por grande região.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sem_quebra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coorte_precoce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  <w:r>
              <w:t xml:space="preserve"> </w:t>
            </w:r>
            <w:r>
              <w:rPr>
                <w:rStyle w:val="VerbatimChar"/>
              </w:rPr>
              <w:t xml:space="preserve">datado</w:t>
            </w:r>
            <w:r>
              <w:t xml:space="preserve"> </w:t>
            </w:r>
            <w:r>
              <w:t xml:space="preserve">entre 20–100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p>
      <w:pPr>
        <w:pStyle w:val="BodyText"/>
      </w:pPr>
      <w:r>
        <w:t xml:space="preserve">A exploração revelou um desbalanço regional que não estava previsto: no Nordeste e no Norte, só 15–20% dos municípios de 20–100 mil têm quebra, contra 73–78% no Sul e no Sudeste. Isso pode refletir chegada mais tardia das plataformas — ou apenas menor propensão à formalização via MEI, caso em que parte dos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nordestinos estaria tratada sem ser vista. A seção 4 discute a consequência.</w:t>
      </w:r>
    </w:p>
    <w:bookmarkEnd w:id="44"/>
    <w:bookmarkStart w:id="48" w:name="X6b778cbaed6e943f7b53f3a5497b82e1877f970"/>
    <w:p>
      <w:pPr>
        <w:pStyle w:val="Heading2"/>
      </w:pPr>
      <w:r>
        <w:t xml:space="preserve">3.5 A regra simulada: calibrada onde é usada, conservadora e incapaz de datar cidades grandes</w:t>
      </w:r>
    </w:p>
    <w:p>
      <w:pPr>
        <w:pStyle w:val="FirstParagraph"/>
      </w:pPr>
      <w:r>
        <w:rPr>
          <w:bCs/>
          <w:b/>
        </w:rPr>
        <w:t xml:space="preserve">Tabela 5 — Falso positivo da regra na janela do placebo (% de municípios com quebra em jan–jun/2016).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 puro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Superdispersão 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Superdispersão 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20–50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50–100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100–250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 mil+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</w:t>
            </w:r>
          </w:p>
        </w:tc>
      </w:tr>
    </w:tbl>
    <w:p>
      <w:pPr>
        <w:pStyle w:val="BodyText"/>
      </w:pPr>
      <w:r>
        <w:t xml:space="preserve">Abaixo de 100 mil habitantes, o falso positivo observado é exatamente o que ruído de contagem com superdispersão moderada produz (Tabela 5 e Figura 5, à esquerda): as quebras espúrias ali são acaso. Acima de 100 mil, o placebo observado é o dobro do que mesmo uma superdispersão forte gera — há acelerações locais reais nas aberturas antes de qualquer plataforma, que a regra não distingue da chegada do entregador. A simulação confirma, por um caminho independente, o corte de 100 mil que o desenho já adotava: a regra não serve para datar cidades grandes, e a coorte precoce não é escolha arbitrária.</w:t>
      </w:r>
    </w:p>
    <w:p>
      <w:pPr>
        <w:pStyle w:val="CaptionedFigure"/>
      </w:pPr>
      <w:r>
        <w:drawing>
          <wp:inline>
            <wp:extent cx="5334000" cy="2245894"/>
            <wp:effectExtent b="0" l="0" r="0" t="0"/>
            <wp:docPr descr="Simulação de Monte Carlo da regra de quebra. Esquerda: falso positivo na janela do placebo sob nulo de Poisson e gama-Poisson, contra o observado. Direita: proporção de saltos de r vezes na taxa de aberturas corretamente datados (de 5 meses antes a 12 meses depois do salto), por faixa." title="" id="46" name="Picture"/>
            <a:graphic>
              <a:graphicData uri="http://schemas.openxmlformats.org/drawingml/2006/picture">
                <pic:pic>
                  <pic:nvPicPr>
                    <pic:cNvPr descr="figuras/fig5_simulacao_regra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Simulação de Monte Carlo da regra de quebra. Esquerda: falso positivo na janela do placebo sob nulo de Poisson e gama-Poisson, contra o observado. Direita: proporção de saltos de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vezes na taxa de aberturas corretamente datados (de 5 meses antes a 12 meses depois do salto), por faixa.</w:t>
      </w:r>
    </w:p>
    <w:p>
      <w:pPr>
        <w:pStyle w:val="BodyText"/>
      </w:pPr>
      <w:r>
        <w:rPr>
          <w:bCs/>
          <w:b/>
        </w:rPr>
        <w:t xml:space="preserve">Tabela 6 — Poder da regra: % dos saltos corretamente datados.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Salto na taxa de aberturas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20–50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50–100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83,6</w:t>
            </w:r>
          </w:p>
        </w:tc>
      </w:tr>
    </w:tbl>
    <w:p>
      <w:pPr>
        <w:pStyle w:val="BodyText"/>
      </w:pPr>
      <w:r>
        <w:t xml:space="preserve">A regra é</w:t>
      </w:r>
      <w:r>
        <w:t xml:space="preserve"> </w:t>
      </w:r>
      <w:r>
        <w:rPr>
          <w:bCs/>
          <w:b/>
        </w:rPr>
        <w:t xml:space="preserve">conservadora</w:t>
      </w:r>
      <w:r>
        <w:t xml:space="preserve"> </w:t>
      </w:r>
      <w:r>
        <w:t xml:space="preserve">(Tabela 6 e Figura 5, à direita). Como exige ao menos 5 aberturas em 6 meses, num município de 20–50 mil — mediana de zero abertura por mês em 2015–2016 — só saltos de 10 vezes ou mais são datados com frequência. Quando data, data bem: o atraso mediano é de 0 a 2 meses, e a quebra espúria anterior ao salto ocorre em 1% (20–50 mil) e 5% (50–100 mil) das séries. A consequência direta é que parte dos 751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recebeu plataforma, mas com poucos entregadores formalizados para a regra ver. Isso atenua o efeito estimado e dá peso empírico à robustez pré-registrada que exclui os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do grupo de comparação.</w:t>
      </w:r>
    </w:p>
    <w:bookmarkEnd w:id="48"/>
    <w:bookmarkStart w:id="52" w:name="Xf1cfce79b642304067e12cc1204dd68e475de48"/>
    <w:p>
      <w:pPr>
        <w:pStyle w:val="Heading2"/>
      </w:pPr>
      <w:r>
        <w:t xml:space="preserve">3.6 Quem recebe data: o desbalanço regional não é porte nem formalização prévia</w:t>
      </w:r>
    </w:p>
    <w:p>
      <w:pPr>
        <w:pStyle w:val="FirstParagraph"/>
      </w:pPr>
      <w:r>
        <w:rPr>
          <w:bCs/>
          <w:b/>
        </w:rPr>
        <w:t xml:space="preserve">Tabela 7 — Regressão logística de P(</w:t>
      </w:r>
      <w:r>
        <w:rPr>
          <w:rStyle w:val="VerbatimChar"/>
          <w:bCs/>
          <w:b/>
        </w:rPr>
        <w:t xml:space="preserve">datado</w:t>
      </w:r>
      <w:r>
        <w:rPr>
          <w:bCs/>
          <w:b/>
        </w:rPr>
        <w:t xml:space="preserve">) entre os 1.391 municípios de 20–100 mil: razões de chance (IC 95%, erros agrupados por UF) e ajuste.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log(população)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11,8 (7,8–17,7)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44,9 (27,0–74,7)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25,9 (14,7–45,7)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1,33 (0,80–2,19)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 (0,68–1,82)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Centro-Oeste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0,39 (0,26–0,58)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0,56 (0,34–0,94)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Nordeste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0,036 (0,019–0,069)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0,058 (0,028–0,117)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0,017 (0,005–0,062)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0,029 (0,008–0,101)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log(aberturas/ano 2015–16)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1,92 (1,58–2,33)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 (validação cruzada 5×10)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0,755 ± 0,021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0,904 ± 0,018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0,912 ± 0,017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Pseudo-R² de McFadden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</w:t>
            </w:r>
          </w:p>
        </w:tc>
      </w:tr>
    </w:tbl>
    <w:p>
      <w:pPr>
        <w:pStyle w:val="BodyText"/>
      </w:pPr>
      <w:r>
        <w:t xml:space="preserve">A população sozinha discrimina razoavelmente (AUC 0,76); acrescentar a região leva a AUC a 0,90, e a propensão pré-plataforma acrescenta quase nada (0,91). Controlando porte e propensão prévia a formalizar entregadores, um município nordestino tem chance</w:t>
      </w:r>
      <w:r>
        <w:t xml:space="preserve"> </w:t>
      </w:r>
      <w:r>
        <w:rPr>
          <w:bCs/>
          <w:b/>
        </w:rPr>
        <w:t xml:space="preserve">17 vezes menor</w:t>
      </w:r>
      <w:r>
        <w:t xml:space="preserve"> </w:t>
      </w:r>
      <w:r>
        <w:t xml:space="preserve">de receber data que um do Sudeste de mesmo porte, e um do Norte,</w:t>
      </w:r>
      <w:r>
        <w:t xml:space="preserve"> </w:t>
      </w:r>
      <w:r>
        <w:rPr>
          <w:bCs/>
          <w:b/>
        </w:rPr>
        <w:t xml:space="preserve">34 vezes menor</w:t>
      </w:r>
      <w:r>
        <w:t xml:space="preserve"> </w:t>
      </w:r>
      <w:r>
        <w:t xml:space="preserve">(Figura 6). A propensão prévia é relevante (quase o dobro da chance por unidade de log) mas absorve pouco do efeito regional: as razões de chance de Nordeste e Norte sobem só de 0,036 para 0,058 e de 0,017 para 0,029.</w:t>
      </w:r>
    </w:p>
    <w:p>
      <w:pPr>
        <w:pStyle w:val="CaptionedFigure"/>
      </w:pPr>
      <w:r>
        <w:drawing>
          <wp:inline>
            <wp:extent cx="5067300" cy="2423491"/>
            <wp:effectExtent b="0" l="0" r="0" t="0"/>
            <wp:docPr descr="Razões de chance de receber data, por região (referência: Sudeste), antes (M2) e depois (M3) de controlar a propensão pré-plataforma a abrir MEI de entrega. Escala logarítmica; IC 95% com erros agrupados por UF." title="" id="50" name="Picture"/>
            <a:graphic>
              <a:graphicData uri="http://schemas.openxmlformats.org/drawingml/2006/picture">
                <pic:pic>
                  <pic:nvPicPr>
                    <pic:cNvPr descr="figuras/fig6_selecao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23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Razões de chance de receber data, por região (referência: Sudeste), antes (M2) e depois (M3) de controlar a propensão pré-plataforma a abrir MEI de entrega. Escala logarítmica; IC 95% com erros agrupados por UF.</w:t>
      </w:r>
    </w:p>
    <w:p>
      <w:pPr>
        <w:pStyle w:val="BodyText"/>
      </w:pPr>
      <w:r>
        <w:t xml:space="preserve">Duas leituras são compatíveis com isso, e o dado do CNPJ não separa uma da outra: as plataformas chegaram mais tarde (ou não chegaram) às cidades médias do Nordeste e do Norte, ou chegaram, mas a formalização dos entregadores</w:t>
      </w:r>
      <w:r>
        <w:t xml:space="preserve"> </w:t>
      </w:r>
      <w:r>
        <w:rPr>
          <w:iCs/>
          <w:i/>
        </w:rPr>
        <w:t xml:space="preserve">depois</w:t>
      </w:r>
      <w:r>
        <w:t xml:space="preserve"> </w:t>
      </w:r>
      <w:r>
        <w:t xml:space="preserve">da chegada é regionalmente diferente — o que a simulação da seção 3.5 diz que a regra não veria. Em qualquer das duas, o grupo de comparação</w:t>
      </w:r>
      <w:r>
        <w:t xml:space="preserve"> </w:t>
      </w:r>
      <w:r>
        <w:rPr>
          <w:iCs/>
          <w:i/>
        </w:rPr>
        <w:t xml:space="preserve">not-yet-treated</w:t>
      </w:r>
      <w:r>
        <w:t xml:space="preserve"> </w:t>
      </w:r>
      <w:r>
        <w:t xml:space="preserve">mistura regiões com trajetórias distintas.</w:t>
      </w:r>
    </w:p>
    <w:bookmarkEnd w:id="52"/>
    <w:bookmarkEnd w:id="53"/>
    <w:bookmarkStart w:id="54" w:name="discussão"/>
    <w:p>
      <w:pPr>
        <w:pStyle w:val="Heading1"/>
      </w:pPr>
      <w:r>
        <w:t xml:space="preserve">4. Discussão</w:t>
      </w:r>
    </w:p>
    <w:p>
      <w:pPr>
        <w:pStyle w:val="FirstParagraph"/>
      </w:pPr>
      <w:r>
        <w:rPr>
          <w:bCs/>
          <w:b/>
        </w:rPr>
        <w:t xml:space="preserve">O que já se sabe.</w:t>
      </w:r>
      <w:r>
        <w:t xml:space="preserve"> </w:t>
      </w:r>
      <w:r>
        <w:t xml:space="preserve">A carga é grande (perto de 150 mil internações por ano), crescente e invisível: o sistema de informação em saúde vê o trabalho em uma internação a cada 15.576, e a Previdência, em uma a duas por mil. A população exposta cresceu e se precarizou, enquanto o setor tornou-se lucrativo. Esses fatos não dependem de identificação causal e sustentam, por si, a política mais barata da lista: tornar obrigatório o registro do nexo</w:t>
      </w:r>
      <w:r>
        <w:t xml:space="preserve"> </w:t>
      </w:r>
      <w:r>
        <w:t xml:space="preserve">“</w:t>
      </w:r>
      <w:r>
        <w:t xml:space="preserve">trabalho por plataforma</w:t>
      </w:r>
      <w:r>
        <w:t xml:space="preserve">”</w:t>
      </w:r>
      <w:r>
        <w:t xml:space="preserve"> </w:t>
      </w:r>
      <w:r>
        <w:t xml:space="preserve">na AIH e no SINAN.</w:t>
      </w:r>
    </w:p>
    <w:p>
      <w:pPr>
        <w:pStyle w:val="BodyText"/>
      </w:pPr>
      <w:r>
        <w:rPr>
          <w:bCs/>
          <w:b/>
        </w:rPr>
        <w:t xml:space="preserve">O que ainda não se sabe — e por que esta versão não responde.</w:t>
      </w:r>
      <w:r>
        <w:t xml:space="preserve"> </w:t>
      </w:r>
      <w:r>
        <w:t xml:space="preserve">Quanto do crescimento das internações é</w:t>
      </w:r>
      <w:r>
        <w:t xml:space="preserve"> </w:t>
      </w:r>
      <w:r>
        <w:rPr>
          <w:iCs/>
          <w:i/>
        </w:rPr>
        <w:t xml:space="preserve">causado</w:t>
      </w:r>
      <w:r>
        <w:t xml:space="preserve"> </w:t>
      </w:r>
      <w:r>
        <w:t xml:space="preserve">pela chegada do entregador por corrida. Essa fração é o que converte</w:t>
      </w:r>
      <w:r>
        <w:t xml:space="preserve"> </w:t>
      </w:r>
      <w:r>
        <w:t xml:space="preserve">“</w:t>
      </w:r>
      <w:r>
        <w:t xml:space="preserve">o SUS paga por acidentes de moto</w:t>
      </w:r>
      <w:r>
        <w:t xml:space="preserve">”</w:t>
      </w:r>
      <w:r>
        <w:t xml:space="preserve"> </w:t>
      </w:r>
      <w:r>
        <w:t xml:space="preserve">em</w:t>
      </w:r>
      <w:r>
        <w:t xml:space="preserve"> </w:t>
      </w:r>
      <w:r>
        <w:t xml:space="preserve">“</w:t>
      </w:r>
      <w:r>
        <w:t xml:space="preserve">o SUS paga por acidentes que a remuneração por corrida causou</w:t>
      </w:r>
      <w:r>
        <w:t xml:space="preserve">”</w:t>
      </w:r>
      <w:r>
        <w:t xml:space="preserve">. Optamos por não estimá-la antes do depósito do plano no OSF: o número de escolhas defensáveis (agregação dos efeitos dinâmicos, grupo de comparação, nível de cluster, janela, desfecho em taxa ou contagem) é grande o bastante para que qualquer resultado obtido antes do registro fosse suspeito de busca por especificação. O estimando, o critério de inferência e as consequências de cada teste de falha estão fixados.</w:t>
      </w:r>
    </w:p>
    <w:p>
      <w:pPr>
        <w:pStyle w:val="BodyText"/>
      </w:pPr>
      <w:r>
        <w:rPr>
          <w:bCs/>
          <w:b/>
        </w:rPr>
        <w:t xml:space="preserve">Limitações já conhecidas, com a direção do viés.</w:t>
      </w:r>
      <w:r>
        <w:t xml:space="preserve"> </w:t>
      </w:r>
      <w:r>
        <w:t xml:space="preserve">Três razões fazem do coeficiente a ser estimado um</w:t>
      </w:r>
      <w:r>
        <w:t xml:space="preserve"> </w:t>
      </w:r>
      <w:r>
        <w:rPr>
          <w:bCs/>
          <w:b/>
        </w:rPr>
        <w:t xml:space="preserve">piso</w:t>
      </w:r>
      <w:r>
        <w:t xml:space="preserve">, e são distintas: (1)</w:t>
      </w:r>
      <w:r>
        <w:t xml:space="preserve"> </w:t>
      </w:r>
      <w:r>
        <w:rPr>
          <w:iCs/>
          <w:i/>
        </w:rPr>
        <w:t xml:space="preserve">diluição</w:t>
      </w:r>
      <w:r>
        <w:t xml:space="preserve"> </w:t>
      </w:r>
      <w:r>
        <w:t xml:space="preserve">— o desfecho inclui todos os motociclistas, não só entregadores (desenho ecológico); (2)</w:t>
      </w:r>
      <w:r>
        <w:t xml:space="preserve"> </w:t>
      </w:r>
      <w:r>
        <w:rPr>
          <w:iCs/>
          <w:i/>
        </w:rPr>
        <w:t xml:space="preserve">contaminação do pré-período</w:t>
      </w:r>
      <w:r>
        <w:t xml:space="preserve"> </w:t>
      </w:r>
      <w:r>
        <w:t xml:space="preserve">— o</w:t>
      </w:r>
      <w:r>
        <w:t xml:space="preserve"> </w:t>
      </w:r>
      <w:r>
        <w:rPr>
          <w:iCs/>
          <w:i/>
        </w:rPr>
        <w:t xml:space="preserve">marketplace</w:t>
      </w:r>
      <w:r>
        <w:t xml:space="preserve"> </w:t>
      </w:r>
      <w:r>
        <w:t xml:space="preserve">já operava antes da frota própria; (3)</w:t>
      </w:r>
      <w:r>
        <w:t xml:space="preserve"> </w:t>
      </w:r>
      <w:r>
        <w:rPr>
          <w:iCs/>
          <w:i/>
        </w:rPr>
        <w:t xml:space="preserve">denominador endógeno</w:t>
      </w:r>
      <w:r>
        <w:t xml:space="preserve"> </w:t>
      </w:r>
      <w:r>
        <w:t xml:space="preserve">— se a plataforma faz gente comprar moto, a taxa é atenuada (teste 3). Além disso: o tratamento data a chegada de</w:t>
      </w:r>
      <w:r>
        <w:t xml:space="preserve"> </w:t>
      </w:r>
      <w:r>
        <w:rPr>
          <w:bCs/>
          <w:b/>
        </w:rPr>
        <w:t xml:space="preserve">oferta de entregador formalizado</w:t>
      </w:r>
      <w:r>
        <w:t xml:space="preserve">, de qualquer plataforma, não a da plataforma X; quebras de 2017 podem ser espúrias e as de 2021+ podem refletir a entrega de comércio eletrônico (ambas auditadas, com consequência escrita); o município de residência não é o do acidente, o que justifica o cluster regional; e o desbalanço regional da Tabela 4 sugere que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contém municípios tratados não detectados, o que contamina o grupo de comparação e atenua o efeito. As seções 3.5 e 3.6 dão número a essa última ameaça, que tem duas faces: a simulação mostra que a regra perde a maioria das chegadas modestas em municípios pequenos, e o modelo de seleção mostra que quem fica sem data é, sobretudo, nordestino e nortista, independentemente de porte e de formalização prévia. A robustez pré-registrada que exclui os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responde à primeira face; para a segunda, a análise propõe, como exploratória declarada, (i) o estimador com efeitos fixos de região × mês, comparando só municípios da mesma grande região, e (ii) a estimação restrita a Sul e Sudeste, onde 73–78% dos municípios têm data e o grupo de comparação é mais homogêneo.</w:t>
      </w:r>
    </w:p>
    <w:p>
      <w:pPr>
        <w:pStyle w:val="BodyText"/>
      </w:pPr>
      <w:r>
        <w:rPr>
          <w:bCs/>
          <w:b/>
        </w:rPr>
        <w:t xml:space="preserve">Implicações.</w:t>
      </w:r>
      <w:r>
        <w:t xml:space="preserve"> </w:t>
      </w:r>
      <w:r>
        <w:t xml:space="preserve">A falta de regulação não depende de decidir o vínculo: a externalidade fiscal existe com ou sem ele. Se H1 for sustentada, a fração atribuível dá a base de cálculo para uma contribuição acidentária das plataformas sobre o valor das corridas — equivalente funcional do RAT —, ou um repasse por corrida ao SUS no molde do que o DPVAT fazia. Se não for, a invisibilidade documentada aqui continua sendo, sozinha, argumento para mudar o registro.</w:t>
      </w:r>
    </w:p>
    <w:bookmarkEnd w:id="54"/>
    <w:bookmarkStart w:id="55" w:name="conclusão"/>
    <w:p>
      <w:pPr>
        <w:pStyle w:val="Heading1"/>
      </w:pPr>
      <w:r>
        <w:t xml:space="preserve">5. Conclusão</w:t>
      </w:r>
    </w:p>
    <w:p>
      <w:pPr>
        <w:pStyle w:val="FirstParagraph"/>
      </w:pPr>
      <w:r>
        <w:t xml:space="preserve">O trabalho responde ao primeiro objetivo — medir carga, custo e invisibilidade — com números reproduzíveis e validados contra referências externas: ~150 mil internações de motociclistas por ano no SUS, R$ 288 milhões pagos em 2025, uma em 15.576 com nexo ocupacional registrado, numa força de trabalho 85% informal, ao lado de uma plataforma líder com R$ 1,8 bilhão de resultado operacional. Responde ao segundo objetivo construindo, sem olhar o desfecho, um tratamento municipal datado para 640 municípios, com hiperparâmetros calibrados contra placebo e validação externa e com taxa de falso positivo baixa onde é usado. Os modelos complementares acrescentam três conclusões sobre o próprio instrumento: (1) a regra está calibrada onde é usada — o falso positivo abaixo de 100 mil habitantes é o do ruído de contagem —, e a simulação confirma de forma independente que ela não data cidades grandes; (2) a regra é conservadora, e os</w:t>
      </w:r>
      <w:r>
        <w:t xml:space="preserve"> </w:t>
      </w:r>
      <w:r>
        <w:rPr>
          <w:rStyle w:val="VerbatimChar"/>
        </w:rPr>
        <w:t xml:space="preserve">sem_quebra</w:t>
      </w:r>
      <w:r>
        <w:t xml:space="preserve"> </w:t>
      </w:r>
      <w:r>
        <w:t xml:space="preserve">contêm tratados não detectados, o que torna o efeito estimado um piso por mais uma razão; (3) a seleção ao tratamento é fortemente regional e não se explica por porte nem por formalização prévia, o que pede comparações dentro da região. O terceiro objetivo está especificado e travado em pré-registro; a estimação causal, com essas duas especificações regionais como exploratórias declaradas, e a auditoria cega do tratamento são as próximas etapas.</w:t>
      </w:r>
    </w:p>
    <w:bookmarkEnd w:id="55"/>
    <w:bookmarkStart w:id="56" w:name="materiais-complementares"/>
    <w:p>
      <w:pPr>
        <w:pStyle w:val="Heading1"/>
      </w:pPr>
      <w:r>
        <w:t xml:space="preserve">Materiais complementares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Código e documentação:</w:t>
      </w:r>
      <w:r>
        <w:t xml:space="preserve"> </w:t>
      </w:r>
      <w:r>
        <w:rPr>
          <w:rStyle w:val="VerbatimChar"/>
        </w:rPr>
        <w:t xml:space="preserve">github.com/mrcsvg/vcemal</w:t>
      </w:r>
      <w:r>
        <w:t xml:space="preserve"> </w:t>
      </w:r>
      <w:r>
        <w:t xml:space="preserve">(MIT; textos CC BY 4.0). Pipeline completo por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roda sem rede e sem dado. Log de 46 decisões datadas em</w:t>
      </w:r>
      <w:r>
        <w:t xml:space="preserve"> </w:t>
      </w:r>
      <w:r>
        <w:rPr>
          <w:rStyle w:val="VerbatimChar"/>
        </w:rPr>
        <w:t xml:space="preserve">docs/decisoes.md</w:t>
      </w:r>
      <w:r>
        <w:t xml:space="preserve">; dicionário do painel em</w:t>
      </w:r>
      <w:r>
        <w:t xml:space="preserve"> </w:t>
      </w:r>
      <w:r>
        <w:rPr>
          <w:rStyle w:val="VerbatimChar"/>
        </w:rPr>
        <w:t xml:space="preserve">docs/dicionario-painel.md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Dados:</w:t>
      </w:r>
      <w:r>
        <w:t xml:space="preserve"> </w:t>
      </w:r>
      <w:r>
        <w:t xml:space="preserve">não versionados, por volume (D-009); todas as fontes são públicas e o inventário (</w:t>
      </w:r>
      <w:r>
        <w:rPr>
          <w:rStyle w:val="VerbatimChar"/>
        </w:rPr>
        <w:t xml:space="preserve">docs/anexo-a-inventario-fontes-de-dados.md</w:t>
      </w:r>
      <w:r>
        <w:t xml:space="preserve">) traz órgão, URL, cobertura, formato e latência de cada uma. Versionados: tratamento congelado (com hash) e transcrição citada da Prosus.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Scripts desta versão:</w:t>
      </w:r>
      <w:r>
        <w:t xml:space="preserve"> </w:t>
      </w:r>
      <w:r>
        <w:rPr>
          <w:rStyle w:val="VerbatimChar"/>
        </w:rPr>
        <w:t xml:space="preserve">artigo/analise_artigo.py</w:t>
      </w:r>
      <w:r>
        <w:t xml:space="preserve"> </w:t>
      </w:r>
      <w:r>
        <w:t xml:space="preserve">gera as Figuras 1–4, e</w:t>
      </w:r>
      <w:r>
        <w:t xml:space="preserve"> </w:t>
      </w:r>
      <w:r>
        <w:rPr>
          <w:rStyle w:val="VerbatimChar"/>
        </w:rPr>
        <w:t xml:space="preserve">artigo/modelos_artigo.py</w:t>
      </w:r>
      <w:r>
        <w:t xml:space="preserve"> </w:t>
      </w:r>
      <w:r>
        <w:t xml:space="preserve">a simulação, o modelo de seleção e as Figuras 5–6 (≈ 25 s). Ambos leem só os arquivos versionados, sem rede, conferem o hash do tratamento e escrevem as tabelas em</w:t>
      </w:r>
      <w:r>
        <w:t xml:space="preserve"> </w:t>
      </w:r>
      <w:r>
        <w:rPr>
          <w:rStyle w:val="VerbatimChar"/>
        </w:rPr>
        <w:t xml:space="preserve">artigo/tabelas/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Bibliotecas:</w:t>
      </w:r>
      <w:r>
        <w:t xml:space="preserve"> </w:t>
      </w:r>
      <w:r>
        <w:t xml:space="preserve">Python ≥ 3.11; pandas, numpy, scipy, pyarrow, PySUS ≥ 2.11, matplotlib, requests (versões em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); para os modelos desta versão, statsmodels 0.14 e scikit-learn 1.x.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Hiperparâmetros:</w:t>
      </w:r>
      <w:r>
        <w:t xml:space="preserve"> </w:t>
      </w:r>
      <w:r>
        <w:t xml:space="preserve">regra de quebra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= 2,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5, α = 0,01, linha de base de 24 meses, janela de 6 meses, piso de 0,5 abertura; grade avaliada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∈ {1,5; 2; 3} ×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∈ {3; 5; 8}. Estimação: janela [−12, +24], comparação</w:t>
      </w:r>
      <w:r>
        <w:t xml:space="preserve"> </w:t>
      </w:r>
      <w:r>
        <w:rPr>
          <w:iCs/>
          <w:i/>
        </w:rPr>
        <w:t xml:space="preserve">not-yet-treated</w:t>
      </w:r>
      <w:r>
        <w:t xml:space="preserve">, cluster em região imediata, α = 0,05 bilateral. Semente da auditoria: 20261011. Modelos complementares: semente 20261013; 200 réplicas por município no falso positivo e 50 no poder; superdispersão gama de variância relativa 0,25, 0,5 e 1,0; regressão logística sem penalização (statsmodels) para as razões de chance e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 </w:t>
      </w:r>
      <w:r>
        <w:t xml:space="preserve">com regularização L2 padrão (scikit-learn, C = 1) para a AUC.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Pré-registro:</w:t>
      </w:r>
      <w:r>
        <w:t xml:space="preserve"> </w:t>
      </w:r>
      <w:r>
        <w:t xml:space="preserve">OSF, doi:</w:t>
      </w:r>
      <w:r>
        <w:t xml:space="preserve"> </w:t>
      </w:r>
      <w:hyperlink r:id="rId24">
        <w:r>
          <w:rPr>
            <w:rStyle w:val="Hyperlink"/>
          </w:rPr>
          <w:t xml:space="preserve">10.17605/OSF.IO/V82JE</w:t>
        </w:r>
      </w:hyperlink>
      <w:r>
        <w:t xml:space="preserve">; texto do formulário em</w:t>
      </w:r>
      <w:r>
        <w:t xml:space="preserve"> </w:t>
      </w:r>
      <w:r>
        <w:rPr>
          <w:rStyle w:val="VerbatimChar"/>
        </w:rPr>
        <w:t xml:space="preserve">docs/pre-registro/deposito-osf.md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Checklist REFORMS:</w:t>
      </w:r>
      <w:r>
        <w:t xml:space="preserve"> </w:t>
      </w:r>
      <w:r>
        <w:t xml:space="preserve">documento anexo (</w:t>
      </w:r>
      <w:r>
        <w:rPr>
          <w:rStyle w:val="VerbatimChar"/>
        </w:rPr>
        <w:t xml:space="preserve">artigo/reforms.md</w:t>
      </w:r>
      <w:r>
        <w:t xml:space="preserve">).</w:t>
      </w:r>
    </w:p>
    <w:bookmarkEnd w:id="56"/>
    <w:bookmarkStart w:id="57" w:name="declaração-de-uso-de-ia-generativa"/>
    <w:p>
      <w:pPr>
        <w:pStyle w:val="Heading1"/>
      </w:pPr>
      <w:r>
        <w:t xml:space="preserve">Declaração de uso de IA generativa</w:t>
      </w:r>
    </w:p>
    <w:p>
      <w:pPr>
        <w:pStyle w:val="FirstParagraph"/>
      </w:pPr>
      <w:r>
        <w:t xml:space="preserve">A equipe utilizou o assistente Claude (Anthropic), via Claude Code, como apoio à elaboração e revisão de código do pipeline e de testes, à organização do log de decisões e à redação e revisão textual desta versão do artigo e do checklist REFORMS. Todas as decisões metodológicas, os números reportados e as referências foram conferidos pela equipe, que assume integral responsabilidade pelo conteúdo.</w:t>
      </w:r>
      <w:r>
        <w:t xml:space="preserve"> </w:t>
      </w:r>
      <w:r>
        <w:rPr>
          <w:bCs/>
          <w:b/>
        </w:rPr>
        <w:t xml:space="preserve">[AJUSTAR CONFORME O USO EFETIVO DA EQUIPE]</w:t>
      </w:r>
    </w:p>
    <w:bookmarkEnd w:id="57"/>
    <w:bookmarkStart w:id="58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ABRAMET — Associação Brasileira de Medicina de Tráfego. Internações de motociclistas no SUS (tabulação do SIH/SUS), 2024.</w:t>
      </w:r>
    </w:p>
    <w:p>
      <w:pPr>
        <w:pStyle w:val="BodyText"/>
      </w:pPr>
      <w:r>
        <w:t xml:space="preserve">CALLAWAY, B.; SANT’ANNA, P. H. C. Difference-in-differences with multiple time periods.</w:t>
      </w:r>
      <w:r>
        <w:t xml:space="preserve"> </w:t>
      </w:r>
      <w:r>
        <w:rPr>
          <w:iCs/>
          <w:i/>
        </w:rPr>
        <w:t xml:space="preserve">Journal of Econometrics</w:t>
      </w:r>
      <w:r>
        <w:t xml:space="preserve">, v. 225, n. 2, p. 200–230, 2021.</w:t>
      </w:r>
    </w:p>
    <w:p>
      <w:pPr>
        <w:pStyle w:val="BodyText"/>
      </w:pPr>
      <w:r>
        <w:t xml:space="preserve">CARVALHO, C. H. R.</w:t>
      </w:r>
      <w:r>
        <w:t xml:space="preserve"> </w:t>
      </w:r>
      <w:r>
        <w:rPr>
          <w:iCs/>
          <w:i/>
        </w:rPr>
        <w:t xml:space="preserve">Custos dos acidentes de trânsito no Brasil: estimativa simplificada com base na atualização das pesquisas do Ipea sobre custos de acidentes nos aglomerados urbanos e rodovias</w:t>
      </w:r>
      <w:r>
        <w:t xml:space="preserve">. Texto para Discussão n. 2565. Brasília: Ipea, 2020.</w:t>
      </w:r>
    </w:p>
    <w:p>
      <w:pPr>
        <w:pStyle w:val="BodyText"/>
      </w:pPr>
      <w:r>
        <w:t xml:space="preserve">DATASUS.</w:t>
      </w:r>
      <w:r>
        <w:t xml:space="preserve"> </w:t>
      </w:r>
      <w:r>
        <w:rPr>
          <w:iCs/>
          <w:i/>
        </w:rPr>
        <w:t xml:space="preserve">Sistema de Informações Hospitalares do SUS (SIH/SUS) — Estrutura dos arquivos RD e notas técnicas de morbidade hospitalar por causas externas</w:t>
      </w:r>
      <w:r>
        <w:t xml:space="preserve">. Brasília: Ministério da Saúde.</w:t>
      </w:r>
    </w:p>
    <w:p>
      <w:pPr>
        <w:pStyle w:val="BodyText"/>
      </w:pPr>
      <w:r>
        <w:t xml:space="preserve">GOODMAN-BACON, A. Difference-in-differences with variation in treatment timing.</w:t>
      </w:r>
      <w:r>
        <w:t xml:space="preserve"> </w:t>
      </w:r>
      <w:r>
        <w:rPr>
          <w:iCs/>
          <w:i/>
        </w:rPr>
        <w:t xml:space="preserve">Journal of Econometrics</w:t>
      </w:r>
      <w:r>
        <w:t xml:space="preserve">, v. 225, n. 2, p. 254–277, 2021.</w:t>
      </w:r>
    </w:p>
    <w:p>
      <w:pPr>
        <w:pStyle w:val="BodyText"/>
      </w:pPr>
      <w:r>
        <w:t xml:space="preserve">IBGE.</w:t>
      </w:r>
      <w:r>
        <w:t xml:space="preserve"> </w:t>
      </w:r>
      <w:r>
        <w:rPr>
          <w:iCs/>
          <w:i/>
        </w:rPr>
        <w:t xml:space="preserve">PNAD Contínua: Teletrabalho e trabalho por meio de plataformas digitais 2024</w:t>
      </w:r>
      <w:r>
        <w:t xml:space="preserve">. Rio de Janeiro: IBGE, 2025.</w:t>
      </w:r>
    </w:p>
    <w:p>
      <w:pPr>
        <w:pStyle w:val="BodyText"/>
      </w:pPr>
      <w:r>
        <w:t xml:space="preserve">KAPOOR, S. et al. REFORMS: Consensus-based recommendations for machine-learning-based science.</w:t>
      </w:r>
      <w:r>
        <w:t xml:space="preserve"> </w:t>
      </w:r>
      <w:r>
        <w:rPr>
          <w:iCs/>
          <w:i/>
        </w:rPr>
        <w:t xml:space="preserve">Science Advances</w:t>
      </w:r>
      <w:r>
        <w:t xml:space="preserve">, v. 10, n. 18, eadk3452, 2024.</w:t>
      </w:r>
    </w:p>
    <w:p>
      <w:pPr>
        <w:pStyle w:val="BodyText"/>
      </w:pPr>
      <w:r>
        <w:t xml:space="preserve">NOSEK, B. A. et al. The preregistration revolution.</w:t>
      </w:r>
      <w:r>
        <w:t xml:space="preserve"> </w:t>
      </w:r>
      <w:r>
        <w:rPr>
          <w:iCs/>
          <w:i/>
        </w:rPr>
        <w:t xml:space="preserve">Proceedings of the National Academy of Sciences</w:t>
      </w:r>
      <w:r>
        <w:t xml:space="preserve">, v. 115, n. 11, p. 2600–2606, 2018.</w:t>
      </w:r>
    </w:p>
    <w:p>
      <w:pPr>
        <w:pStyle w:val="BodyText"/>
      </w:pPr>
      <w:r>
        <w:t xml:space="preserve">[NOMES DOS AUTORES].</w:t>
      </w:r>
      <w:r>
        <w:t xml:space="preserve"> </w:t>
      </w:r>
      <w:r>
        <w:rPr>
          <w:iCs/>
          <w:i/>
        </w:rPr>
        <w:t xml:space="preserve">Delivery platforms and motorcyclist hospitalizations in Brazil’s public health system (SUS): the effect of entry in Brazilian municipalities</w:t>
      </w:r>
      <w:r>
        <w:t xml:space="preserve">. Preregistration. OSF Registries, 2026. DOI: 10.17605/OSF.IO/V82JE.</w:t>
      </w:r>
    </w:p>
    <w:p>
      <w:pPr>
        <w:pStyle w:val="BodyText"/>
      </w:pPr>
      <w:r>
        <w:t xml:space="preserve">PROSUS N.V.</w:t>
      </w:r>
      <w:r>
        <w:t xml:space="preserve"> </w:t>
      </w:r>
      <w:r>
        <w:rPr>
          <w:iCs/>
          <w:i/>
        </w:rPr>
        <w:t xml:space="preserve">KPI datasheets</w:t>
      </w:r>
      <w:r>
        <w:t xml:space="preserve">, anos fiscais 2021 a 2026. Amsterdã: Prosus. Disponível em: prosus.com (URLs por célula em</w:t>
      </w:r>
      <w:r>
        <w:t xml:space="preserve"> </w:t>
      </w:r>
      <w:r>
        <w:rPr>
          <w:rStyle w:val="VerbatimChar"/>
        </w:rPr>
        <w:t xml:space="preserve">docs/fontes/ifood_prosus.csv</w:t>
      </w:r>
      <w:r>
        <w:t xml:space="preserve">).</w:t>
      </w:r>
    </w:p>
    <w:p>
      <w:pPr>
        <w:pStyle w:val="BodyText"/>
      </w:pPr>
      <w:r>
        <w:t xml:space="preserve">ROTH, J. et al. What’s trending in difference-in-differences? A synthesis of the recent econometrics literature.</w:t>
      </w:r>
      <w:r>
        <w:t xml:space="preserve"> </w:t>
      </w:r>
      <w:r>
        <w:rPr>
          <w:iCs/>
          <w:i/>
        </w:rPr>
        <w:t xml:space="preserve">Journal of Econometrics</w:t>
      </w:r>
      <w:r>
        <w:t xml:space="preserve">, v. 235, n. 2, p. 2218–2244, 2023.</w:t>
      </w:r>
    </w:p>
    <w:p>
      <w:pPr>
        <w:pStyle w:val="BodyText"/>
      </w:pPr>
      <w:r>
        <w:t xml:space="preserve">SUN, L.; ABRAHAM, S. Estimating dynamic treatment effects in event studies with heterogeneous treatment effects.</w:t>
      </w:r>
      <w:r>
        <w:t xml:space="preserve"> </w:t>
      </w:r>
      <w:r>
        <w:rPr>
          <w:iCs/>
          <w:i/>
        </w:rPr>
        <w:t xml:space="preserve">Journal of Econometrics</w:t>
      </w:r>
      <w:r>
        <w:t xml:space="preserve">, v. 225, n. 2, p. 175–199, 2021.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24" Target="https://doi.org/10.17605/OSF.IO/V82J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oi.org/10.17605/OSF.IO/V82J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Plataformas de entrega e internações de motociclistas no SUS: carga, custo público e um desenho causal pré-registrado</dc:title>
  <dc:creator>[NOMES DOS AUTORES] — Universidade Federal do Paraná (UFPR)</dc:creator>
  <dc:language>pt-BR</dc:language>
  <cp:keywords/>
  <dcterms:created xsi:type="dcterms:W3CDTF">2026-10-13T22:37:13Z</dcterms:created>
  <dcterms:modified xsi:type="dcterms:W3CDTF">2026-10-13T22:37:13Z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 de outubro de 2026</vt:lpwstr>
  </property>
  <property fmtid="{D5CDD505-2E9C-101B-9397-08002B2CF9AE}" pid="3" name="subtitle">
    <vt:lpwstr>Versão prévia — resultados descritivos, construção do tratamento e plano de identificação</vt:lpwstr>
  </property>
</Properties>
</file>