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OmniStats — APA 7th Edition Tables</w:t>
      </w:r>
    </w:p>
    <w:p>
      <w:r>
        <w:t>Note. Tables generated automatically by OmniStats. Significance levels: * p &lt; .05, ** p &lt; .01, *** p &lt; .001.</w:t>
      </w:r>
    </w:p>
    <w:p>
      <w:r>
        <w:br w:type="page"/>
      </w:r>
    </w:p>
    <w:p>
      <w:pPr>
        <w:spacing w:before="240" w:after="40"/>
      </w:pPr>
      <w:r>
        <w:rPr>
          <w:rFonts w:ascii="Times New Roman" w:hAnsi="Times New Roman"/>
          <w:b/>
          <w:sz w:val="24"/>
        </w:rPr>
        <w:t>Table 1</w:t>
      </w:r>
      <w:r>
        <w:br/>
      </w:r>
      <w:r>
        <w:rPr>
          <w:rFonts w:ascii="Times New Roman" w:hAnsi="Times New Roman"/>
          <w:i/>
          <w:sz w:val="24"/>
        </w:rPr>
        <w:t>Model Fit Statistics for Latent Profile Analysis (K = 1–6)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576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K</w:t>
            </w:r>
          </w:p>
        </w:tc>
        <w:tc>
          <w:tcPr>
            <w:tcW w:type="dxa" w:w="1728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Log-Likelihood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AIC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BIC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aBIC</w:t>
            </w:r>
          </w:p>
        </w:tc>
        <w:tc>
          <w:tcPr>
            <w:tcW w:type="dxa" w:w="1224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Entropy</w:t>
            </w:r>
          </w:p>
        </w:tc>
        <w:tc>
          <w:tcPr>
            <w:tcW w:type="dxa" w:w="1296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LMR-LRT p</w:t>
            </w:r>
          </w:p>
        </w:tc>
      </w:tr>
      <w:tr>
        <w:tc>
          <w:tcPr>
            <w:tcW w:type="dxa" w:w="576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-4039.14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8094.27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8130.82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8105.41</w:t>
            </w:r>
          </w:p>
        </w:tc>
        <w:tc>
          <w:tcPr>
            <w:tcW w:type="dxa" w:w="1224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2.000</w:t>
            </w:r>
          </w:p>
        </w:tc>
        <w:tc>
          <w:tcPr>
            <w:tcW w:type="dxa" w:w="1296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576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-153.69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341.38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419.04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365.06</w:t>
            </w:r>
          </w:p>
        </w:tc>
        <w:tc>
          <w:tcPr>
            <w:tcW w:type="dxa" w:w="1224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0.991</w:t>
            </w:r>
          </w:p>
        </w:tc>
        <w:tc>
          <w:tcPr>
            <w:tcW w:type="dxa" w:w="1296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0.000</w:t>
            </w:r>
          </w:p>
        </w:tc>
      </w:tr>
      <w:tr>
        <w:tc>
          <w:tcPr>
            <w:tcW w:type="dxa" w:w="576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94.06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-136.12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-17.35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-99.90</w:t>
            </w:r>
          </w:p>
        </w:tc>
        <w:tc>
          <w:tcPr>
            <w:tcW w:type="dxa" w:w="1224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0.964</w:t>
            </w:r>
          </w:p>
        </w:tc>
        <w:tc>
          <w:tcPr>
            <w:tcW w:type="dxa" w:w="1296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0.000</w:t>
            </w:r>
          </w:p>
        </w:tc>
      </w:tr>
      <w:tr>
        <w:tc>
          <w:tcPr>
            <w:tcW w:type="dxa" w:w="576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4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2660.46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-5250.93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-5091.04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-5202.18</w:t>
            </w:r>
          </w:p>
        </w:tc>
        <w:tc>
          <w:tcPr>
            <w:tcW w:type="dxa" w:w="1224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0.970</w:t>
            </w:r>
          </w:p>
        </w:tc>
        <w:tc>
          <w:tcPr>
            <w:tcW w:type="dxa" w:w="1296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0.000</w:t>
            </w:r>
          </w:p>
        </w:tc>
      </w:tr>
      <w:tr>
        <w:tc>
          <w:tcPr>
            <w:tcW w:type="dxa" w:w="576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5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2742.94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-5397.88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-5196.88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-5336.59</w:t>
            </w:r>
          </w:p>
        </w:tc>
        <w:tc>
          <w:tcPr>
            <w:tcW w:type="dxa" w:w="1224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0.968</w:t>
            </w:r>
          </w:p>
        </w:tc>
        <w:tc>
          <w:tcPr>
            <w:tcW w:type="dxa" w:w="1296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0.000</w:t>
            </w:r>
          </w:p>
        </w:tc>
      </w:tr>
      <w:tr>
        <w:tc>
          <w:tcPr>
            <w:tcW w:type="dxa" w:w="576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1728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3437.43</w:t>
            </w:r>
          </w:p>
        </w:tc>
        <w:tc>
          <w:tcPr>
            <w:tcW w:type="dxa" w:w="144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-6768.85</w:t>
            </w:r>
          </w:p>
        </w:tc>
        <w:tc>
          <w:tcPr>
            <w:tcW w:type="dxa" w:w="144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-6526.74</w:t>
            </w:r>
          </w:p>
        </w:tc>
        <w:tc>
          <w:tcPr>
            <w:tcW w:type="dxa" w:w="144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-6695.03</w:t>
            </w:r>
          </w:p>
        </w:tc>
        <w:tc>
          <w:tcPr>
            <w:tcW w:type="dxa" w:w="1224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0.989</w:t>
            </w:r>
          </w:p>
        </w:tc>
        <w:tc>
          <w:tcPr>
            <w:tcW w:type="dxa" w:w="1296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0.000</w:t>
            </w:r>
          </w:p>
        </w:tc>
      </w:tr>
    </w:tbl>
    <w:p/>
    <w:p>
      <w:r>
        <w:rPr>
          <w:rFonts w:ascii="Times New Roman" w:hAnsi="Times New Roman"/>
          <w:i/>
          <w:sz w:val="20"/>
        </w:rPr>
        <w:t>Note. AIC = Akaike Information Criterion; BIC = Bayesian Information Criterion; aBIC = Sample-size Adjusted BIC; Entropy = classification entropy (0–1); LMR-LRT p = Lo-Mendell-Rubin approximate Likelihood Ratio Test p-value.</w:t>
      </w:r>
    </w:p>
    <w:p>
      <w:r>
        <w:br w:type="page"/>
      </w:r>
    </w:p>
    <w:p>
      <w:pPr>
        <w:spacing w:before="240" w:after="40"/>
      </w:pPr>
      <w:r>
        <w:rPr>
          <w:rFonts w:ascii="Times New Roman" w:hAnsi="Times New Roman"/>
          <w:b/>
          <w:sz w:val="24"/>
        </w:rPr>
        <w:t>Table 2</w:t>
      </w:r>
      <w:r>
        <w:br/>
      </w:r>
      <w:r>
        <w:rPr>
          <w:rFonts w:ascii="Times New Roman" w:hAnsi="Times New Roman"/>
          <w:i/>
          <w:sz w:val="24"/>
        </w:rPr>
        <w:t>Profile Indicator Means (SD) and Welch's ANOVA Results (K = 3)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Indicator</w:t>
            </w:r>
          </w:p>
        </w:tc>
        <w:tc>
          <w:tcPr>
            <w:tcW w:type="dxa" w:w="96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Profile 1</w:t>
            </w:r>
          </w:p>
        </w:tc>
        <w:tc>
          <w:tcPr>
            <w:tcW w:type="dxa" w:w="96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Profile 2</w:t>
            </w:r>
          </w:p>
        </w:tc>
        <w:tc>
          <w:tcPr>
            <w:tcW w:type="dxa" w:w="96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Profile 3</w:t>
            </w:r>
          </w:p>
        </w:tc>
        <w:tc>
          <w:tcPr>
            <w:tcW w:type="dxa" w:w="96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F</w:t>
            </w:r>
          </w:p>
        </w:tc>
        <w:tc>
          <w:tcPr>
            <w:tcW w:type="dxa" w:w="96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df1</w:t>
            </w:r>
          </w:p>
        </w:tc>
        <w:tc>
          <w:tcPr>
            <w:tcW w:type="dxa" w:w="96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df2</w:t>
            </w:r>
          </w:p>
        </w:tc>
        <w:tc>
          <w:tcPr>
            <w:tcW w:type="dxa" w:w="96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p</w:t>
            </w:r>
          </w:p>
        </w:tc>
        <w:tc>
          <w:tcPr>
            <w:tcW w:type="dxa" w:w="96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η²</w:t>
            </w:r>
          </w:p>
        </w:tc>
      </w:tr>
      <w:tr>
        <w:tc>
          <w:tcPr>
            <w:tcW w:type="dxa" w:w="96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Age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35.89 (15.67)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16.84 (13.64)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32.05 (12.59)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72.38***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151.2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0.000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0.182</w:t>
            </w:r>
          </w:p>
        </w:tc>
      </w:tr>
      <w:tr>
        <w:tc>
          <w:tcPr>
            <w:tcW w:type="dxa" w:w="96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Fare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132.80 (109.55)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24.72 (10.17)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23.21 (26.39)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35.68***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168.4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0.000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0.388</w:t>
            </w:r>
          </w:p>
        </w:tc>
      </w:tr>
      <w:tr>
        <w:tc>
          <w:tcPr>
            <w:tcW w:type="dxa" w:w="96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SibSp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0.67 (0.75)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1.47 (1.52)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0.25 (0.48)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50.82***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133.7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0.000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0.258</w:t>
            </w:r>
          </w:p>
        </w:tc>
      </w:tr>
      <w:tr>
        <w:tc>
          <w:tcPr>
            <w:tcW w:type="dxa" w:w="96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Parch</w:t>
            </w:r>
          </w:p>
        </w:tc>
        <w:tc>
          <w:tcPr>
            <w:tcW w:type="dxa" w:w="96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1.81 (1.40)</w:t>
            </w:r>
          </w:p>
        </w:tc>
        <w:tc>
          <w:tcPr>
            <w:tcW w:type="dxa" w:w="96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1.36 (0.53)</w:t>
            </w:r>
          </w:p>
        </w:tc>
        <w:tc>
          <w:tcPr>
            <w:tcW w:type="dxa" w:w="96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0.00 (0.00)</w:t>
            </w:r>
          </w:p>
        </w:tc>
        <w:tc>
          <w:tcPr>
            <w:tcW w:type="dxa" w:w="96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96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96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96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96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0.662</w:t>
            </w:r>
          </w:p>
        </w:tc>
      </w:tr>
    </w:tbl>
    <w:p/>
    <w:p>
      <w:r>
        <w:rPr>
          <w:rFonts w:ascii="Times New Roman" w:hAnsi="Times New Roman"/>
          <w:i/>
          <w:sz w:val="20"/>
        </w:rPr>
        <w:t>Note. Values are M (SD) for raw scores. F = Welch's F; η² = eta-squared. * p &lt; .05.</w:t>
      </w:r>
    </w:p>
    <w:p>
      <w:r>
        <w:br w:type="page"/>
      </w:r>
    </w:p>
    <w:p>
      <w:pPr>
        <w:spacing w:before="240" w:after="40"/>
      </w:pPr>
      <w:r>
        <w:rPr>
          <w:rFonts w:ascii="Times New Roman" w:hAnsi="Times New Roman"/>
          <w:b/>
          <w:sz w:val="24"/>
        </w:rPr>
        <w:t>Table 3</w:t>
      </w:r>
      <w:r>
        <w:br/>
      </w:r>
      <w:r>
        <w:rPr>
          <w:rFonts w:ascii="Times New Roman" w:hAnsi="Times New Roman"/>
          <w:i/>
          <w:sz w:val="24"/>
        </w:rPr>
        <w:t>Chi-Square Tests of Profile Differences on Demographic Variables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88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Demographic Variable</w:t>
            </w:r>
          </w:p>
        </w:tc>
        <w:tc>
          <w:tcPr>
            <w:tcW w:type="dxa" w:w="1296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χ²</w:t>
            </w:r>
          </w:p>
        </w:tc>
        <w:tc>
          <w:tcPr>
            <w:tcW w:type="dxa" w:w="72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df</w:t>
            </w:r>
          </w:p>
        </w:tc>
        <w:tc>
          <w:tcPr>
            <w:tcW w:type="dxa" w:w="1008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p</w:t>
            </w:r>
          </w:p>
        </w:tc>
        <w:tc>
          <w:tcPr>
            <w:tcW w:type="dxa" w:w="1584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Cramér's V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Sex</w:t>
            </w:r>
          </w:p>
        </w:tc>
        <w:tc>
          <w:tcPr>
            <w:tcW w:type="dxa" w:w="1296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53.67***</w:t>
            </w:r>
          </w:p>
        </w:tc>
        <w:tc>
          <w:tcPr>
            <w:tcW w:type="dxa" w:w="72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0.000</w:t>
            </w:r>
          </w:p>
        </w:tc>
        <w:tc>
          <w:tcPr>
            <w:tcW w:type="dxa" w:w="1584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0.275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Pclass</w:t>
            </w:r>
          </w:p>
        </w:tc>
        <w:tc>
          <w:tcPr>
            <w:tcW w:type="dxa" w:w="1296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139.11***</w:t>
            </w:r>
          </w:p>
        </w:tc>
        <w:tc>
          <w:tcPr>
            <w:tcW w:type="dxa" w:w="72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4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0.000</w:t>
            </w:r>
          </w:p>
        </w:tc>
        <w:tc>
          <w:tcPr>
            <w:tcW w:type="dxa" w:w="1584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0.313</w:t>
            </w:r>
          </w:p>
        </w:tc>
      </w:tr>
      <w:tr>
        <w:tc>
          <w:tcPr>
            <w:tcW w:type="dxa" w:w="288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Embarked</w:t>
            </w:r>
          </w:p>
        </w:tc>
        <w:tc>
          <w:tcPr>
            <w:tcW w:type="dxa" w:w="1296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15.39**</w:t>
            </w:r>
          </w:p>
        </w:tc>
        <w:tc>
          <w:tcPr>
            <w:tcW w:type="dxa" w:w="72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4</w:t>
            </w:r>
          </w:p>
        </w:tc>
        <w:tc>
          <w:tcPr>
            <w:tcW w:type="dxa" w:w="1008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0.004</w:t>
            </w:r>
          </w:p>
        </w:tc>
        <w:tc>
          <w:tcPr>
            <w:tcW w:type="dxa" w:w="1584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0.104</w:t>
            </w:r>
          </w:p>
        </w:tc>
      </w:tr>
    </w:tbl>
    <w:p/>
    <w:p>
      <w:r>
        <w:rPr>
          <w:rFonts w:ascii="Times New Roman" w:hAnsi="Times New Roman"/>
          <w:i/>
          <w:sz w:val="20"/>
        </w:rPr>
        <w:t>Note. Cramér's V is the effect size. * p &lt; .05.</w:t>
      </w:r>
    </w:p>
    <w:p>
      <w:r>
        <w:br w:type="page"/>
      </w:r>
    </w:p>
    <w:p>
      <w:pPr>
        <w:spacing w:before="240" w:after="40"/>
      </w:pPr>
      <w:r>
        <w:rPr>
          <w:rFonts w:ascii="Times New Roman" w:hAnsi="Times New Roman"/>
          <w:b/>
          <w:sz w:val="24"/>
        </w:rPr>
        <w:t>Table 4</w:t>
      </w:r>
      <w:r>
        <w:br/>
      </w:r>
      <w:r>
        <w:rPr>
          <w:rFonts w:ascii="Times New Roman" w:hAnsi="Times New Roman"/>
          <w:i/>
          <w:sz w:val="24"/>
        </w:rPr>
        <w:t>Profile Membership Counts and Percentages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016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Profile</w:t>
            </w:r>
          </w:p>
        </w:tc>
        <w:tc>
          <w:tcPr>
            <w:tcW w:type="dxa" w:w="1008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n</w:t>
            </w:r>
          </w:p>
        </w:tc>
        <w:tc>
          <w:tcPr>
            <w:tcW w:type="dxa" w:w="1008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%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Mean Max Prob.</w:t>
            </w:r>
          </w:p>
        </w:tc>
      </w:tr>
      <w:tr>
        <w:tc>
          <w:tcPr>
            <w:tcW w:type="dxa" w:w="2016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Profile 1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72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10.1%</w:t>
            </w:r>
          </w:p>
        </w:tc>
        <w:tc>
          <w:tcPr>
            <w:tcW w:type="dxa" w:w="21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0.965</w:t>
            </w:r>
          </w:p>
        </w:tc>
      </w:tr>
      <w:tr>
        <w:tc>
          <w:tcPr>
            <w:tcW w:type="dxa" w:w="2016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Profile 2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131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18.4%</w:t>
            </w:r>
          </w:p>
        </w:tc>
        <w:tc>
          <w:tcPr>
            <w:tcW w:type="dxa" w:w="21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0.948</w:t>
            </w:r>
          </w:p>
        </w:tc>
      </w:tr>
      <w:tr>
        <w:tc>
          <w:tcPr>
            <w:tcW w:type="dxa" w:w="2016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Profile 3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509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71.5%</w:t>
            </w:r>
          </w:p>
        </w:tc>
        <w:tc>
          <w:tcPr>
            <w:tcW w:type="dxa" w:w="21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0.998</w:t>
            </w:r>
          </w:p>
        </w:tc>
      </w:tr>
      <w:tr>
        <w:tc>
          <w:tcPr>
            <w:tcW w:type="dxa" w:w="2016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Total</w:t>
            </w:r>
          </w:p>
        </w:tc>
        <w:tc>
          <w:tcPr>
            <w:tcW w:type="dxa" w:w="1008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712</w:t>
            </w:r>
          </w:p>
        </w:tc>
        <w:tc>
          <w:tcPr>
            <w:tcW w:type="dxa" w:w="1008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100.0%</w:t>
            </w:r>
          </w:p>
        </w:tc>
        <w:tc>
          <w:tcPr>
            <w:tcW w:type="dxa" w:w="216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</w:tr>
    </w:tbl>
    <w:p/>
    <w:p>
      <w:r>
        <w:rPr>
          <w:rFonts w:ascii="Times New Roman" w:hAnsi="Times New Roman"/>
          <w:i/>
          <w:sz w:val="20"/>
        </w:rPr>
        <w:t>Note. Mean Max Prob. = average posterior probability of the most likely class assignment.</w:t>
      </w:r>
    </w:p>
    <w:p>
      <w:r>
        <w:br w:type="page"/>
      </w:r>
    </w:p>
    <w:p>
      <w:pPr>
        <w:spacing w:before="240" w:after="40"/>
      </w:pPr>
      <w:r>
        <w:rPr>
          <w:rFonts w:ascii="Times New Roman" w:hAnsi="Times New Roman"/>
          <w:b/>
          <w:sz w:val="24"/>
        </w:rPr>
        <w:t>Table 5</w:t>
      </w:r>
      <w:r>
        <w:br/>
      </w:r>
      <w:r>
        <w:rPr>
          <w:rFonts w:ascii="Times New Roman" w:hAnsi="Times New Roman"/>
          <w:i/>
          <w:sz w:val="24"/>
        </w:rPr>
        <w:t>A/B Test Results Summary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Test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P Value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Significant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Diff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Cohen D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T Stat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means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0.0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True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20.0636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0.3698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-4.5728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dist_ctrl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0.0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True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nan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nan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nan</w:t>
            </w:r>
          </w:p>
        </w:tc>
      </w:tr>
      <w:tr>
        <w:tc>
          <w:tcPr>
            <w:tcW w:type="dxa" w:w="144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dist_trt</w:t>
            </w:r>
          </w:p>
        </w:tc>
        <w:tc>
          <w:tcPr>
            <w:tcW w:type="dxa" w:w="144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0.0</w:t>
            </w:r>
          </w:p>
        </w:tc>
        <w:tc>
          <w:tcPr>
            <w:tcW w:type="dxa" w:w="144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True</w:t>
            </w:r>
          </w:p>
        </w:tc>
        <w:tc>
          <w:tcPr>
            <w:tcW w:type="dxa" w:w="144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nan</w:t>
            </w:r>
          </w:p>
        </w:tc>
        <w:tc>
          <w:tcPr>
            <w:tcW w:type="dxa" w:w="144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nan</w:t>
            </w:r>
          </w:p>
        </w:tc>
        <w:tc>
          <w:tcPr>
            <w:tcW w:type="dxa" w:w="144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nan</w:t>
            </w:r>
          </w:p>
        </w:tc>
      </w:tr>
    </w:tbl>
    <w:p/>
    <w:p>
      <w:r>
        <w:rPr>
          <w:rFonts w:ascii="Times New Roman" w:hAnsi="Times New Roman"/>
          <w:i/>
          <w:sz w:val="20"/>
        </w:rPr>
        <w:t>Note. Significance at alpha = .05. Cohen's d and lift % reported where applicable.</w:t>
      </w:r>
    </w:p>
    <w:p>
      <w:r>
        <w:br w:type="page"/>
      </w:r>
    </w:p>
    <w:p>
      <w:pPr>
        <w:spacing w:before="240" w:after="40"/>
      </w:pPr>
      <w:r>
        <w:rPr>
          <w:rFonts w:ascii="Times New Roman" w:hAnsi="Times New Roman"/>
          <w:b/>
          <w:sz w:val="24"/>
        </w:rPr>
        <w:t>Table 6</w:t>
      </w:r>
      <w:r>
        <w:br/>
      </w:r>
      <w:r>
        <w:rPr>
          <w:rFonts w:ascii="Times New Roman" w:hAnsi="Times New Roman"/>
          <w:i/>
          <w:sz w:val="24"/>
        </w:rPr>
        <w:t>Sequential Bayesian A/B Test Results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Test</w:t>
            </w:r>
          </w:p>
        </w:tc>
        <w:tc>
          <w:tcPr>
            <w:tcW w:type="dxa" w:w="108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Method</w:t>
            </w:r>
          </w:p>
        </w:tc>
        <w:tc>
          <w:tcPr>
            <w:tcW w:type="dxa" w:w="108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P(B &gt; A)</w:t>
            </w:r>
          </w:p>
        </w:tc>
        <w:tc>
          <w:tcPr>
            <w:tcW w:type="dxa" w:w="108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Expected Loss</w:t>
            </w:r>
          </w:p>
        </w:tc>
        <w:tc>
          <w:tcPr>
            <w:tcW w:type="dxa" w:w="108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95% Credible Lower</w:t>
            </w:r>
          </w:p>
        </w:tc>
        <w:tc>
          <w:tcPr>
            <w:tcW w:type="dxa" w:w="108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95% Credible Upper</w:t>
            </w:r>
          </w:p>
        </w:tc>
        <w:tc>
          <w:tcPr>
            <w:tcW w:type="dxa" w:w="108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ESS</w:t>
            </w:r>
          </w:p>
        </w:tc>
        <w:tc>
          <w:tcPr>
            <w:tcW w:type="dxa" w:w="108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Decision</w:t>
            </w:r>
          </w:p>
        </w:tc>
      </w:tr>
      <w:tr>
        <w:tc>
          <w:tcPr>
            <w:tcW w:type="dxa" w:w="108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means</w:t>
            </w:r>
          </w:p>
        </w:tc>
        <w:tc>
          <w:tcPr>
            <w:tcW w:type="dxa" w:w="108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pymc_nuts_studentt</w:t>
            </w:r>
          </w:p>
        </w:tc>
        <w:tc>
          <w:tcPr>
            <w:tcW w:type="dxa" w:w="108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1.0000</w:t>
            </w:r>
          </w:p>
        </w:tc>
        <w:tc>
          <w:tcPr>
            <w:tcW w:type="dxa" w:w="108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0.000000</w:t>
            </w:r>
          </w:p>
        </w:tc>
        <w:tc>
          <w:tcPr>
            <w:tcW w:type="dxa" w:w="108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6.3160</w:t>
            </w:r>
          </w:p>
        </w:tc>
        <w:tc>
          <w:tcPr>
            <w:tcW w:type="dxa" w:w="108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10.8793</w:t>
            </w:r>
          </w:p>
        </w:tc>
        <w:tc>
          <w:tcPr>
            <w:tcW w:type="dxa" w:w="108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4169.5</w:t>
            </w:r>
          </w:p>
        </w:tc>
        <w:tc>
          <w:tcPr>
            <w:tcW w:type="dxa" w:w="108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SHIP_TREATMENT</w:t>
            </w:r>
          </w:p>
        </w:tc>
      </w:tr>
    </w:tbl>
    <w:p/>
    <w:p>
      <w:r>
        <w:rPr>
          <w:rFonts w:ascii="Times New Roman" w:hAnsi="Times New Roman"/>
          <w:i/>
          <w:sz w:val="20"/>
        </w:rPr>
        <w:t>Note. P(B &gt; A) = posterior probability that Treatment exceeds Control. Expected Loss = E[max(0, θ_A − θ_B) | Data] (EVSI decision criterion). ESS = Effective Sample Size of posterior draws. Method: conjugate_beta_binomial = exact Beta-Binomial conjugate update; pymc_nuts_studentt = PyMC No-U-Turn Sampler with StudentT likelihood (robust to outliers); importance_sampling = IS fallback when PyMC unavailable. Decision threshold: P(B &gt; A) ≥ 0.95 and Expected Loss ≤ 0.01.</w:t>
      </w:r>
    </w:p>
    <w:p>
      <w:r>
        <w:br w:type="page"/>
      </w:r>
    </w:p>
    <w:p>
      <w:pPr>
        <w:spacing w:before="240" w:after="40"/>
      </w:pPr>
      <w:r>
        <w:rPr>
          <w:rFonts w:ascii="Times New Roman" w:hAnsi="Times New Roman"/>
          <w:b/>
          <w:sz w:val="24"/>
        </w:rPr>
        <w:t>Table 7</w:t>
      </w:r>
      <w:r>
        <w:br/>
      </w:r>
      <w:r>
        <w:rPr>
          <w:rFonts w:ascii="Times New Roman" w:hAnsi="Times New Roman"/>
          <w:i/>
          <w:sz w:val="24"/>
        </w:rPr>
        <w:t>Causal Inference Results Summary (Stage 4)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Method</w:t>
            </w:r>
          </w:p>
        </w:tc>
        <w:tc>
          <w:tcPr>
            <w:tcW w:type="dxa" w:w="96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Estimand</w:t>
            </w:r>
          </w:p>
        </w:tc>
        <w:tc>
          <w:tcPr>
            <w:tcW w:type="dxa" w:w="96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Estimate</w:t>
            </w:r>
          </w:p>
        </w:tc>
        <w:tc>
          <w:tcPr>
            <w:tcW w:type="dxa" w:w="96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SE</w:t>
            </w:r>
          </w:p>
        </w:tc>
        <w:tc>
          <w:tcPr>
            <w:tcW w:type="dxa" w:w="96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95% CI Lower</w:t>
            </w:r>
          </w:p>
        </w:tc>
        <w:tc>
          <w:tcPr>
            <w:tcW w:type="dxa" w:w="96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95% CI Upper</w:t>
            </w:r>
          </w:p>
        </w:tc>
        <w:tc>
          <w:tcPr>
            <w:tcW w:type="dxa" w:w="96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CI Type</w:t>
            </w:r>
          </w:p>
        </w:tc>
        <w:tc>
          <w:tcPr>
            <w:tcW w:type="dxa" w:w="96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p</w:t>
            </w:r>
          </w:p>
        </w:tc>
        <w:tc>
          <w:tcPr>
            <w:tcW w:type="dxa" w:w="96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N</w:t>
            </w:r>
          </w:p>
        </w:tc>
      </w:tr>
      <w:tr>
        <w:tc>
          <w:tcPr>
            <w:tcW w:type="dxa" w:w="96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Staggered DiD (Callaway &amp; Sant-Anna)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ATT(g,t)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4.0897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0.0797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3.9335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4.2459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ols_twfe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0.0000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2400</w:t>
            </w:r>
          </w:p>
        </w:tc>
      </w:tr>
      <w:tr>
        <w:tc>
          <w:tcPr>
            <w:tcW w:type="dxa" w:w="96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IV 2SLS (linearmodels)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LATE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2.4939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0.4896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1.5343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3.4534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wald_numpy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0.0000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600</w:t>
            </w:r>
          </w:p>
        </w:tc>
      </w:tr>
      <w:tr>
        <w:tc>
          <w:tcPr>
            <w:tcW w:type="dxa" w:w="96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RDD (local-linear fallback)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LATE_at_cutoff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13.1924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1.9095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9.4499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16.9349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conventional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0.0000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100</w:t>
            </w:r>
          </w:p>
        </w:tc>
      </w:tr>
      <w:tr>
        <w:tc>
          <w:tcPr>
            <w:tcW w:type="dxa" w:w="96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Synthetic Control Method (SCM)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ATT_treated_unit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3.0459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2.2307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-1.3262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7.4180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placebo_in_space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0.0000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20</w:t>
            </w:r>
          </w:p>
        </w:tc>
      </w:tr>
      <w:tr>
        <w:tc>
          <w:tcPr>
            <w:tcW w:type="dxa" w:w="96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Matrix Completion (Nuclear Norm)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ATT_staggered_panel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1.9749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0.0728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1.8322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2.1175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bootstrap_nuclear_norm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0.0000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300</w:t>
            </w:r>
          </w:p>
        </w:tc>
      </w:tr>
      <w:tr>
        <w:tc>
          <w:tcPr>
            <w:tcW w:type="dxa" w:w="96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CausalImpact (BSTS)</w:t>
            </w:r>
          </w:p>
        </w:tc>
        <w:tc>
          <w:tcPr>
            <w:tcW w:type="dxa" w:w="96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Average ATT post-intervention</w:t>
            </w:r>
          </w:p>
        </w:tc>
        <w:tc>
          <w:tcPr>
            <w:tcW w:type="dxa" w:w="96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96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96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96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96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not_available</w:t>
            </w:r>
          </w:p>
        </w:tc>
        <w:tc>
          <w:tcPr>
            <w:tcW w:type="dxa" w:w="96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96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60</w:t>
            </w:r>
          </w:p>
        </w:tc>
      </w:tr>
    </w:tbl>
    <w:p/>
    <w:p>
      <w:r>
        <w:rPr>
          <w:rFonts w:ascii="Times New Roman" w:hAnsi="Times New Roman"/>
          <w:i/>
          <w:sz w:val="20"/>
        </w:rPr>
        <w:t>Note. All estimators operate on CUPED-adjusted outcome Y_cuped (Table 7). DiD = Callaway &amp; Sant-Anna (2021) staggered ATT(g,t) via differences; IV = linearmodels IV2SLS (HC3 SEs; Anderson-Rubin CI when KP rk-F &lt; 10); RDD = rdrobust CCT MSE-optimal bandwidth, bias-corrected robust CI, rddensity manipulation test; SCM = Synthetic Control Method (Abadie et al.), placebo-in-space CI; MC = Matrix Completion (Athey et al.) nuclear norm, bootstrap CI; BMA = Bayesian Model Averaging, Posterior Inclusion Probabilities for HTE; CausalImpact = Bayesian Structural Time Series (BSTS) with spike-and-slab control series selection, MCMC credible interval. CI types: doubly_robust / anderson_rubin / robust_bc / placebo_in_space / bootstrap_nuclear_norm / bsts_mcmc_credible / prophet_mcmc_credible.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