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C50B" w14:textId="227CBBB1" w:rsidR="00652114" w:rsidRDefault="00652114" w:rsidP="00FA52CE">
      <w:pPr>
        <w:jc w:val="both"/>
      </w:pPr>
    </w:p>
    <w:p w14:paraId="5E0A2D4E" w14:textId="079D19E1" w:rsidR="007710D0" w:rsidRPr="00405A77" w:rsidRDefault="00440CEC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 xml:space="preserve">This collection of R scripts implements a comprehensive and reproducible workflow for the construction and harmonization of international </w:t>
      </w:r>
      <w:r w:rsidR="00FA52CE">
        <w:rPr>
          <w:sz w:val="20"/>
          <w:szCs w:val="20"/>
        </w:rPr>
        <w:t>I</w:t>
      </w:r>
      <w:r w:rsidRPr="00405A77">
        <w:rPr>
          <w:sz w:val="20"/>
          <w:szCs w:val="20"/>
        </w:rPr>
        <w:t>nput–</w:t>
      </w:r>
      <w:r w:rsidR="00FA52CE">
        <w:rPr>
          <w:sz w:val="20"/>
          <w:szCs w:val="20"/>
        </w:rPr>
        <w:t>O</w:t>
      </w:r>
      <w:r w:rsidRPr="00405A77">
        <w:rPr>
          <w:sz w:val="20"/>
          <w:szCs w:val="20"/>
        </w:rPr>
        <w:t xml:space="preserve">utput </w:t>
      </w:r>
      <w:r w:rsidR="00FA52CE">
        <w:rPr>
          <w:sz w:val="20"/>
          <w:szCs w:val="20"/>
        </w:rPr>
        <w:t>T</w:t>
      </w:r>
      <w:r w:rsidRPr="00405A77">
        <w:rPr>
          <w:sz w:val="20"/>
          <w:szCs w:val="20"/>
        </w:rPr>
        <w:t xml:space="preserve">ables </w:t>
      </w:r>
      <w:r w:rsidR="00FA52CE">
        <w:rPr>
          <w:sz w:val="20"/>
          <w:szCs w:val="20"/>
        </w:rPr>
        <w:t xml:space="preserve">(IOT) </w:t>
      </w:r>
      <w:r w:rsidRPr="00405A77">
        <w:rPr>
          <w:sz w:val="20"/>
          <w:szCs w:val="20"/>
        </w:rPr>
        <w:t xml:space="preserve">based on the </w:t>
      </w:r>
      <w:r w:rsidRPr="00405A77">
        <w:rPr>
          <w:b/>
          <w:bCs/>
          <w:sz w:val="20"/>
          <w:szCs w:val="20"/>
        </w:rPr>
        <w:t>EORA</w:t>
      </w:r>
      <w:r w:rsidR="005B6C03" w:rsidRPr="00405A77">
        <w:rPr>
          <w:b/>
          <w:bCs/>
          <w:sz w:val="20"/>
          <w:szCs w:val="20"/>
        </w:rPr>
        <w:t xml:space="preserve"> </w:t>
      </w:r>
      <w:r w:rsidRPr="00405A77">
        <w:rPr>
          <w:b/>
          <w:bCs/>
          <w:sz w:val="20"/>
          <w:szCs w:val="20"/>
        </w:rPr>
        <w:t>26</w:t>
      </w:r>
      <w:r w:rsidRPr="00405A77">
        <w:rPr>
          <w:sz w:val="20"/>
          <w:szCs w:val="20"/>
        </w:rPr>
        <w:t xml:space="preserve"> database, with a specific focus on the </w:t>
      </w:r>
      <w:r w:rsidRPr="00405A77">
        <w:rPr>
          <w:b/>
          <w:bCs/>
          <w:sz w:val="20"/>
          <w:szCs w:val="20"/>
        </w:rPr>
        <w:t>food and agriculture sectors</w:t>
      </w:r>
      <w:r w:rsidRPr="00405A77">
        <w:rPr>
          <w:sz w:val="20"/>
          <w:szCs w:val="20"/>
        </w:rPr>
        <w:t xml:space="preserve">. </w:t>
      </w:r>
    </w:p>
    <w:p w14:paraId="7935E97A" w14:textId="40C3F9C8" w:rsidR="005B6C03" w:rsidRPr="00405A77" w:rsidRDefault="005B6C03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Even if</w:t>
      </w:r>
      <w:r w:rsidR="007710D0" w:rsidRPr="00405A77">
        <w:rPr>
          <w:sz w:val="20"/>
          <w:szCs w:val="20"/>
        </w:rPr>
        <w:t xml:space="preserve"> </w:t>
      </w:r>
      <w:r w:rsidR="007710D0" w:rsidRPr="00405A77">
        <w:rPr>
          <w:b/>
          <w:bCs/>
          <w:sz w:val="20"/>
          <w:szCs w:val="20"/>
        </w:rPr>
        <w:t>EORA 26</w:t>
      </w:r>
      <w:r w:rsidR="007710D0" w:rsidRPr="00405A77">
        <w:rPr>
          <w:sz w:val="20"/>
          <w:szCs w:val="20"/>
        </w:rPr>
        <w:t xml:space="preserve"> is the </w:t>
      </w:r>
      <w:r w:rsidR="00DC5534">
        <w:rPr>
          <w:sz w:val="20"/>
          <w:szCs w:val="20"/>
        </w:rPr>
        <w:t>source</w:t>
      </w:r>
      <w:r w:rsidR="007710D0" w:rsidRPr="00405A77">
        <w:rPr>
          <w:sz w:val="20"/>
          <w:szCs w:val="20"/>
        </w:rPr>
        <w:t xml:space="preserve"> </w:t>
      </w:r>
      <w:r w:rsidRPr="00405A77">
        <w:rPr>
          <w:sz w:val="20"/>
          <w:szCs w:val="20"/>
        </w:rPr>
        <w:t>database</w:t>
      </w:r>
      <w:r w:rsidR="007710D0" w:rsidRPr="00405A77">
        <w:rPr>
          <w:sz w:val="20"/>
          <w:szCs w:val="20"/>
        </w:rPr>
        <w:t xml:space="preserve">, trade and transportation margins are derived from the </w:t>
      </w:r>
      <w:r w:rsidR="007710D0" w:rsidRPr="00405A77">
        <w:rPr>
          <w:b/>
          <w:bCs/>
          <w:sz w:val="20"/>
          <w:szCs w:val="20"/>
        </w:rPr>
        <w:t>FULL EORA</w:t>
      </w:r>
      <w:r w:rsidR="007710D0" w:rsidRPr="00405A77">
        <w:rPr>
          <w:sz w:val="20"/>
          <w:szCs w:val="20"/>
        </w:rPr>
        <w:t xml:space="preserve"> </w:t>
      </w:r>
      <w:r w:rsidRPr="00405A77">
        <w:rPr>
          <w:sz w:val="20"/>
          <w:szCs w:val="20"/>
        </w:rPr>
        <w:t>database</w:t>
      </w:r>
      <w:r w:rsidR="00DC5534">
        <w:rPr>
          <w:sz w:val="20"/>
          <w:szCs w:val="20"/>
        </w:rPr>
        <w:t>.</w:t>
      </w:r>
    </w:p>
    <w:p w14:paraId="64C8D209" w14:textId="42AA4B8A" w:rsidR="006F2AC9" w:rsidRPr="00405A77" w:rsidRDefault="00440CEC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The objective is to generate consistent, country-level datasets that allow the decomposition of the “food dollar” into primary production, processing, trade, and transport margins.</w:t>
      </w:r>
      <w:r w:rsidR="001B03BF">
        <w:rPr>
          <w:sz w:val="20"/>
          <w:szCs w:val="20"/>
        </w:rPr>
        <w:t xml:space="preserve"> In fact, while the EORA database is </w:t>
      </w:r>
      <w:r w:rsidR="00EC2E15">
        <w:rPr>
          <w:sz w:val="20"/>
          <w:szCs w:val="20"/>
        </w:rPr>
        <w:t>constituted of a multiregional DB, the Food Value Chain methodology needs National IOT.</w:t>
      </w:r>
    </w:p>
    <w:p w14:paraId="2E5C5F0F" w14:textId="77777777" w:rsidR="0028308B" w:rsidRPr="00405A77" w:rsidRDefault="005A704A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 xml:space="preserve">The main script, </w:t>
      </w:r>
      <w:r w:rsidRPr="00DC5534">
        <w:rPr>
          <w:b/>
          <w:bCs/>
          <w:sz w:val="20"/>
          <w:szCs w:val="20"/>
          <w:highlight w:val="yellow"/>
        </w:rPr>
        <w:t>FOOD_DOLLAR_PROJECT.R</w:t>
      </w:r>
      <w:r w:rsidRPr="00405A77">
        <w:rPr>
          <w:sz w:val="20"/>
          <w:szCs w:val="20"/>
        </w:rPr>
        <w:t xml:space="preserve">, performs the extraction, labeling, and transformation of raw EORA26 </w:t>
      </w:r>
      <w:r w:rsidR="0028308B" w:rsidRPr="00405A77">
        <w:rPr>
          <w:sz w:val="20"/>
          <w:szCs w:val="20"/>
        </w:rPr>
        <w:t>sub-</w:t>
      </w:r>
      <w:r w:rsidRPr="00405A77">
        <w:rPr>
          <w:sz w:val="20"/>
          <w:szCs w:val="20"/>
        </w:rPr>
        <w:t>matrices</w:t>
      </w:r>
      <w:r w:rsidR="0028308B" w:rsidRPr="00405A77">
        <w:rPr>
          <w:sz w:val="20"/>
          <w:szCs w:val="20"/>
        </w:rPr>
        <w:t>:</w:t>
      </w:r>
    </w:p>
    <w:p w14:paraId="1CFBE059" w14:textId="599F5ED6" w:rsidR="0028308B" w:rsidRPr="00405A77" w:rsidRDefault="005A704A" w:rsidP="00FA52C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VA</w:t>
      </w:r>
      <w:r w:rsidR="00AB17F4" w:rsidRPr="00405A77">
        <w:rPr>
          <w:sz w:val="20"/>
          <w:szCs w:val="20"/>
        </w:rPr>
        <w:t xml:space="preserve"> – Value Added</w:t>
      </w:r>
    </w:p>
    <w:p w14:paraId="7EC15B68" w14:textId="678F2CEF" w:rsidR="0028308B" w:rsidRPr="00405A77" w:rsidRDefault="005A704A" w:rsidP="00FA52C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fr-FR"/>
        </w:rPr>
      </w:pPr>
      <w:r w:rsidRPr="00405A77">
        <w:rPr>
          <w:sz w:val="20"/>
          <w:szCs w:val="20"/>
          <w:lang w:val="fr-FR"/>
        </w:rPr>
        <w:t>T</w:t>
      </w:r>
      <w:r w:rsidR="00792ACC" w:rsidRPr="00405A77">
        <w:rPr>
          <w:sz w:val="20"/>
          <w:szCs w:val="20"/>
          <w:lang w:val="fr-FR"/>
        </w:rPr>
        <w:t xml:space="preserve"> (Z)</w:t>
      </w:r>
      <w:r w:rsidR="00AB17F4" w:rsidRPr="00405A77">
        <w:rPr>
          <w:sz w:val="20"/>
          <w:szCs w:val="20"/>
          <w:lang w:val="fr-FR"/>
        </w:rPr>
        <w:t xml:space="preserve"> – </w:t>
      </w:r>
      <w:r w:rsidR="009655C2" w:rsidRPr="00405A77">
        <w:rPr>
          <w:sz w:val="20"/>
          <w:szCs w:val="20"/>
          <w:lang w:val="fr-FR"/>
        </w:rPr>
        <w:t>Int</w:t>
      </w:r>
      <w:r w:rsidR="00867D19" w:rsidRPr="00405A77">
        <w:rPr>
          <w:sz w:val="20"/>
          <w:szCs w:val="20"/>
          <w:lang w:val="fr-FR"/>
        </w:rPr>
        <w:t>ra industries</w:t>
      </w:r>
      <w:r w:rsidR="00AB17F4" w:rsidRPr="00405A77">
        <w:rPr>
          <w:sz w:val="20"/>
          <w:szCs w:val="20"/>
          <w:lang w:val="fr-FR"/>
        </w:rPr>
        <w:t xml:space="preserve"> transaction</w:t>
      </w:r>
    </w:p>
    <w:p w14:paraId="0F3CADA6" w14:textId="5CF9AB74" w:rsidR="00AB17F4" w:rsidRPr="00405A77" w:rsidRDefault="005A704A" w:rsidP="00FA52C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FD</w:t>
      </w:r>
      <w:r w:rsidR="00867D19" w:rsidRPr="00405A77">
        <w:rPr>
          <w:sz w:val="20"/>
          <w:szCs w:val="20"/>
        </w:rPr>
        <w:t xml:space="preserve"> – final demand</w:t>
      </w:r>
    </w:p>
    <w:p w14:paraId="6B536D28" w14:textId="2711DD21" w:rsidR="00792ACC" w:rsidRPr="00405A77" w:rsidRDefault="005A704A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for each year and country</w:t>
      </w:r>
      <w:r w:rsidR="00867D19" w:rsidRPr="00405A77">
        <w:rPr>
          <w:sz w:val="20"/>
          <w:szCs w:val="20"/>
        </w:rPr>
        <w:t xml:space="preserve"> to build </w:t>
      </w:r>
      <w:r w:rsidR="009F7471">
        <w:rPr>
          <w:sz w:val="20"/>
          <w:szCs w:val="20"/>
        </w:rPr>
        <w:t>t</w:t>
      </w:r>
      <w:r w:rsidR="009B7D42" w:rsidRPr="00405A77">
        <w:rPr>
          <w:sz w:val="20"/>
          <w:szCs w:val="20"/>
        </w:rPr>
        <w:t xml:space="preserve">he main national IOT (inclusive of </w:t>
      </w:r>
      <w:r w:rsidR="009B7D42" w:rsidRPr="00FA52CE">
        <w:rPr>
          <w:b/>
          <w:bCs/>
          <w:sz w:val="20"/>
          <w:szCs w:val="20"/>
        </w:rPr>
        <w:t>imports and exports</w:t>
      </w:r>
      <w:r w:rsidR="00FA52CE">
        <w:rPr>
          <w:sz w:val="20"/>
          <w:szCs w:val="20"/>
        </w:rPr>
        <w:t>, that are computed in the script</w:t>
      </w:r>
      <w:r w:rsidR="009B7D42" w:rsidRPr="00405A77">
        <w:rPr>
          <w:sz w:val="20"/>
          <w:szCs w:val="20"/>
        </w:rPr>
        <w:t>)</w:t>
      </w:r>
    </w:p>
    <w:p w14:paraId="5E341D8E" w14:textId="4129E26F" w:rsidR="00853D75" w:rsidRPr="00405A77" w:rsidRDefault="00AF6993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 xml:space="preserve">It then applies the </w:t>
      </w:r>
      <w:r w:rsidR="005A704A" w:rsidRPr="00405A77">
        <w:rPr>
          <w:b/>
          <w:bCs/>
          <w:sz w:val="20"/>
          <w:szCs w:val="20"/>
        </w:rPr>
        <w:t>RAS balancing algorithm</w:t>
      </w:r>
      <w:r w:rsidR="005A704A" w:rsidRPr="00405A77">
        <w:rPr>
          <w:sz w:val="20"/>
          <w:szCs w:val="20"/>
        </w:rPr>
        <w:t xml:space="preserve"> to enforce accounting consistency</w:t>
      </w:r>
      <w:r w:rsidR="000F7B9A" w:rsidRPr="00405A77">
        <w:rPr>
          <w:sz w:val="20"/>
          <w:szCs w:val="20"/>
        </w:rPr>
        <w:t xml:space="preserve"> and identities between total industrial in</w:t>
      </w:r>
      <w:r w:rsidR="00386B2E" w:rsidRPr="00405A77">
        <w:rPr>
          <w:sz w:val="20"/>
          <w:szCs w:val="20"/>
        </w:rPr>
        <w:t xml:space="preserve">puts (Z column sum) and output (Z </w:t>
      </w:r>
      <w:r w:rsidR="00853D75" w:rsidRPr="00405A77">
        <w:rPr>
          <w:sz w:val="20"/>
          <w:szCs w:val="20"/>
        </w:rPr>
        <w:t>row sum).</w:t>
      </w:r>
    </w:p>
    <w:p w14:paraId="4F5B73FA" w14:textId="023AEE72" w:rsidR="00B24F61" w:rsidRPr="00405A77" w:rsidRDefault="00B24F61" w:rsidP="00FA52CE">
      <w:p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Fore selected industries</w:t>
      </w:r>
      <w:r w:rsidR="00404B7B" w:rsidRPr="00405A77">
        <w:rPr>
          <w:sz w:val="20"/>
          <w:szCs w:val="20"/>
        </w:rPr>
        <w:t xml:space="preserve"> related to the FVC, and namely:</w:t>
      </w:r>
    </w:p>
    <w:p w14:paraId="50788D5E" w14:textId="77777777" w:rsidR="00B24F61" w:rsidRPr="00405A77" w:rsidRDefault="005A704A" w:rsidP="00FA52C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Agriculture</w:t>
      </w:r>
    </w:p>
    <w:p w14:paraId="5F6A2625" w14:textId="77777777" w:rsidR="00404B7B" w:rsidRPr="00405A77" w:rsidRDefault="005A704A" w:rsidP="00FA52C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Fishing</w:t>
      </w:r>
    </w:p>
    <w:p w14:paraId="57BE2301" w14:textId="77777777" w:rsidR="00404B7B" w:rsidRPr="00405A77" w:rsidRDefault="005A704A" w:rsidP="00FA52C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 xml:space="preserve">Wholesale </w:t>
      </w:r>
    </w:p>
    <w:p w14:paraId="1D3F065D" w14:textId="77777777" w:rsidR="00404B7B" w:rsidRPr="00405A77" w:rsidRDefault="005A704A" w:rsidP="00FA52C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Retail Trade</w:t>
      </w:r>
    </w:p>
    <w:p w14:paraId="6F1ECB8C" w14:textId="31A9252A" w:rsidR="00404B7B" w:rsidRPr="00405A77" w:rsidRDefault="00404B7B" w:rsidP="00FA52C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05A77">
        <w:rPr>
          <w:sz w:val="20"/>
          <w:szCs w:val="20"/>
        </w:rPr>
        <w:t>Food Manufacturing</w:t>
      </w:r>
    </w:p>
    <w:p w14:paraId="6E4BF0DF" w14:textId="213A2079" w:rsidR="00404B7B" w:rsidRPr="00405A77" w:rsidRDefault="00846E38" w:rsidP="00FA52CE">
      <w:pPr>
        <w:jc w:val="both"/>
        <w:rPr>
          <w:sz w:val="20"/>
          <w:szCs w:val="20"/>
        </w:rPr>
      </w:pPr>
      <w:r w:rsidRPr="00FA52CE">
        <w:rPr>
          <w:b/>
          <w:bCs/>
          <w:sz w:val="20"/>
          <w:szCs w:val="20"/>
        </w:rPr>
        <w:t>Data granularity</w:t>
      </w:r>
      <w:r w:rsidRPr="00405A77">
        <w:rPr>
          <w:sz w:val="20"/>
          <w:szCs w:val="20"/>
        </w:rPr>
        <w:t xml:space="preserve"> is increased</w:t>
      </w:r>
      <w:r w:rsidR="00100B89" w:rsidRPr="00405A77">
        <w:rPr>
          <w:sz w:val="20"/>
          <w:szCs w:val="20"/>
        </w:rPr>
        <w:t xml:space="preserve"> </w:t>
      </w:r>
      <w:r w:rsidRPr="00405A77">
        <w:rPr>
          <w:sz w:val="20"/>
          <w:szCs w:val="20"/>
        </w:rPr>
        <w:t>using Undata</w:t>
      </w:r>
      <w:r w:rsidR="00360A91" w:rsidRPr="00405A77">
        <w:rPr>
          <w:sz w:val="20"/>
          <w:szCs w:val="20"/>
        </w:rPr>
        <w:t xml:space="preserve"> (and</w:t>
      </w:r>
      <w:r w:rsidR="00100B89" w:rsidRPr="00405A77">
        <w:rPr>
          <w:sz w:val="20"/>
          <w:szCs w:val="20"/>
        </w:rPr>
        <w:t xml:space="preserve"> </w:t>
      </w:r>
      <w:r w:rsidR="00405A77" w:rsidRPr="00405A77">
        <w:rPr>
          <w:sz w:val="20"/>
          <w:szCs w:val="20"/>
        </w:rPr>
        <w:t>the</w:t>
      </w:r>
      <w:r w:rsidR="00100B89" w:rsidRPr="00405A77">
        <w:rPr>
          <w:sz w:val="20"/>
          <w:szCs w:val="20"/>
        </w:rPr>
        <w:t xml:space="preserve"> industrial quota </w:t>
      </w:r>
      <w:r w:rsidR="00DB1975" w:rsidRPr="00405A77">
        <w:rPr>
          <w:sz w:val="20"/>
          <w:szCs w:val="20"/>
        </w:rPr>
        <w:t>in the value added</w:t>
      </w:r>
      <w:r w:rsidR="00405A77" w:rsidRPr="00405A77">
        <w:rPr>
          <w:sz w:val="20"/>
          <w:szCs w:val="20"/>
        </w:rPr>
        <w:t xml:space="preserve"> in particular</w:t>
      </w:r>
      <w:r w:rsidR="00360A91" w:rsidRPr="00405A77">
        <w:rPr>
          <w:sz w:val="20"/>
          <w:szCs w:val="20"/>
        </w:rPr>
        <w:t>)</w:t>
      </w:r>
      <w:r w:rsidR="00405A77" w:rsidRPr="00405A77">
        <w:rPr>
          <w:sz w:val="20"/>
          <w:szCs w:val="20"/>
        </w:rPr>
        <w:t>.</w:t>
      </w:r>
    </w:p>
    <w:p w14:paraId="44484960" w14:textId="5A16AB8F" w:rsidR="00DB10B3" w:rsidRPr="00062738" w:rsidRDefault="00062738" w:rsidP="00062738">
      <w:pPr>
        <w:jc w:val="both"/>
        <w:rPr>
          <w:sz w:val="20"/>
          <w:szCs w:val="20"/>
        </w:rPr>
      </w:pPr>
      <w:r w:rsidRPr="00062738">
        <w:rPr>
          <w:sz w:val="20"/>
          <w:szCs w:val="20"/>
        </w:rPr>
        <w:t xml:space="preserve">The second and third scripts, </w:t>
      </w:r>
      <w:r w:rsidRPr="004E2C2C">
        <w:rPr>
          <w:b/>
          <w:bCs/>
          <w:sz w:val="20"/>
          <w:szCs w:val="20"/>
          <w:highlight w:val="yellow"/>
        </w:rPr>
        <w:t>TRADE_MARGINS.R</w:t>
      </w:r>
      <w:r w:rsidRPr="00062738">
        <w:rPr>
          <w:sz w:val="20"/>
          <w:szCs w:val="20"/>
        </w:rPr>
        <w:t xml:space="preserve"> and </w:t>
      </w:r>
      <w:r w:rsidRPr="004E2C2C">
        <w:rPr>
          <w:b/>
          <w:bCs/>
          <w:sz w:val="20"/>
          <w:szCs w:val="20"/>
          <w:highlight w:val="yellow"/>
        </w:rPr>
        <w:t>TRANSPORT_MARGINS.R</w:t>
      </w:r>
      <w:r w:rsidRPr="004E2C2C">
        <w:rPr>
          <w:sz w:val="20"/>
          <w:szCs w:val="20"/>
          <w:highlight w:val="yellow"/>
        </w:rPr>
        <w:t>,</w:t>
      </w:r>
      <w:r w:rsidRPr="00062738">
        <w:rPr>
          <w:sz w:val="20"/>
          <w:szCs w:val="20"/>
        </w:rPr>
        <w:t xml:space="preserve"> extend this process by isolating the </w:t>
      </w:r>
      <w:r w:rsidRPr="00062738">
        <w:rPr>
          <w:b/>
          <w:bCs/>
          <w:sz w:val="20"/>
          <w:szCs w:val="20"/>
        </w:rPr>
        <w:t>trade</w:t>
      </w:r>
      <w:r w:rsidRPr="00062738">
        <w:rPr>
          <w:sz w:val="20"/>
          <w:szCs w:val="20"/>
        </w:rPr>
        <w:t xml:space="preserve"> and </w:t>
      </w:r>
      <w:r w:rsidRPr="00062738">
        <w:rPr>
          <w:b/>
          <w:bCs/>
          <w:sz w:val="20"/>
          <w:szCs w:val="20"/>
        </w:rPr>
        <w:t>transportation margins</w:t>
      </w:r>
      <w:r w:rsidRPr="00062738">
        <w:rPr>
          <w:sz w:val="20"/>
          <w:szCs w:val="20"/>
        </w:rPr>
        <w:t xml:space="preserve"> embedded in inter-sectoral flows. Both scripts reorganize national IOTs into block-diagonal matrices, apply </w:t>
      </w:r>
      <w:r w:rsidRPr="00C91594">
        <w:rPr>
          <w:i/>
          <w:iCs/>
          <w:sz w:val="20"/>
          <w:szCs w:val="20"/>
        </w:rPr>
        <w:t>concordance tables</w:t>
      </w:r>
      <w:r w:rsidRPr="00062738">
        <w:rPr>
          <w:sz w:val="20"/>
          <w:szCs w:val="20"/>
        </w:rPr>
        <w:t xml:space="preserve"> </w:t>
      </w:r>
      <w:r w:rsidR="00E24C07">
        <w:rPr>
          <w:sz w:val="20"/>
          <w:szCs w:val="20"/>
        </w:rPr>
        <w:t xml:space="preserve">to </w:t>
      </w:r>
      <w:r w:rsidRPr="00062738">
        <w:rPr>
          <w:sz w:val="20"/>
          <w:szCs w:val="20"/>
        </w:rPr>
        <w:t xml:space="preserve">align </w:t>
      </w:r>
      <w:r w:rsidR="00E24C07" w:rsidRPr="00C91594">
        <w:rPr>
          <w:b/>
          <w:bCs/>
          <w:sz w:val="20"/>
          <w:szCs w:val="20"/>
        </w:rPr>
        <w:t>EORA 26</w:t>
      </w:r>
      <w:r w:rsidR="00E24C07">
        <w:rPr>
          <w:sz w:val="20"/>
          <w:szCs w:val="20"/>
        </w:rPr>
        <w:t xml:space="preserve"> and </w:t>
      </w:r>
      <w:r w:rsidR="00E24C07" w:rsidRPr="00C91594">
        <w:rPr>
          <w:b/>
          <w:bCs/>
          <w:sz w:val="20"/>
          <w:szCs w:val="20"/>
        </w:rPr>
        <w:t>FULL EORA DB</w:t>
      </w:r>
      <w:r w:rsidRPr="00062738">
        <w:rPr>
          <w:sz w:val="20"/>
          <w:szCs w:val="20"/>
        </w:rPr>
        <w:t xml:space="preserve">, and compute agriculture and food-related margins using country-specific share coefficients (from </w:t>
      </w:r>
      <w:r w:rsidRPr="00062738">
        <w:rPr>
          <w:i/>
          <w:iCs/>
          <w:sz w:val="20"/>
          <w:szCs w:val="20"/>
        </w:rPr>
        <w:t>Agriculture_share.csv</w:t>
      </w:r>
      <w:r w:rsidRPr="00062738">
        <w:rPr>
          <w:sz w:val="20"/>
          <w:szCs w:val="20"/>
        </w:rPr>
        <w:t xml:space="preserve"> and </w:t>
      </w:r>
      <w:r w:rsidRPr="00062738">
        <w:rPr>
          <w:i/>
          <w:iCs/>
          <w:sz w:val="20"/>
          <w:szCs w:val="20"/>
        </w:rPr>
        <w:t>food_beverages_share.csv</w:t>
      </w:r>
      <w:r w:rsidRPr="00062738">
        <w:rPr>
          <w:sz w:val="20"/>
          <w:szCs w:val="20"/>
        </w:rPr>
        <w:t>). These procedures yield harmonized datasets of trade and transport margins by country, year, and sector</w:t>
      </w:r>
      <w:r w:rsidR="00C076C2">
        <w:rPr>
          <w:sz w:val="20"/>
          <w:szCs w:val="20"/>
        </w:rPr>
        <w:t>. The application of trade and transportation margins to the agricultural sector is needed to assess the consumption (purchaser prices</w:t>
      </w:r>
      <w:r w:rsidR="00861AD7">
        <w:rPr>
          <w:sz w:val="20"/>
          <w:szCs w:val="20"/>
        </w:rPr>
        <w:t xml:space="preserve">) of the agricultural </w:t>
      </w:r>
      <w:r w:rsidR="0083740B">
        <w:rPr>
          <w:sz w:val="20"/>
          <w:szCs w:val="20"/>
        </w:rPr>
        <w:t>commodities and</w:t>
      </w:r>
      <w:r w:rsidR="00861AD7">
        <w:rPr>
          <w:sz w:val="20"/>
          <w:szCs w:val="20"/>
        </w:rPr>
        <w:t xml:space="preserve"> prepare the data to the decomposition analysis in STATA.</w:t>
      </w:r>
    </w:p>
    <w:sectPr w:rsidR="00DB10B3" w:rsidRPr="000627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63A4" w14:textId="77777777" w:rsidR="006F2AC9" w:rsidRDefault="006F2AC9" w:rsidP="006F2AC9">
      <w:pPr>
        <w:spacing w:after="0" w:line="240" w:lineRule="auto"/>
      </w:pPr>
      <w:r>
        <w:separator/>
      </w:r>
    </w:p>
  </w:endnote>
  <w:endnote w:type="continuationSeparator" w:id="0">
    <w:p w14:paraId="616C3EF9" w14:textId="77777777" w:rsidR="006F2AC9" w:rsidRDefault="006F2AC9" w:rsidP="006F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F66E" w14:textId="77777777" w:rsidR="006F2AC9" w:rsidRDefault="006F2AC9" w:rsidP="006F2AC9">
      <w:pPr>
        <w:spacing w:after="0" w:line="240" w:lineRule="auto"/>
      </w:pPr>
      <w:r>
        <w:separator/>
      </w:r>
    </w:p>
  </w:footnote>
  <w:footnote w:type="continuationSeparator" w:id="0">
    <w:p w14:paraId="14863DFB" w14:textId="77777777" w:rsidR="006F2AC9" w:rsidRDefault="006F2AC9" w:rsidP="006F2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80D15" w14:textId="56D33962" w:rsidR="006F2AC9" w:rsidRDefault="006F2AC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4D3A40" wp14:editId="2DC04D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B87162" w14:textId="086FDF1D" w:rsidR="006F2AC9" w:rsidRDefault="006F2AC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Files SCOPE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4D3A40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B87162" w14:textId="086FDF1D" w:rsidR="006F2AC9" w:rsidRDefault="006F2AC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Files SCOPE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F327D"/>
    <w:multiLevelType w:val="hybridMultilevel"/>
    <w:tmpl w:val="65E8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D5A86"/>
    <w:multiLevelType w:val="hybridMultilevel"/>
    <w:tmpl w:val="FF92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94443">
    <w:abstractNumId w:val="1"/>
  </w:num>
  <w:num w:numId="2" w16cid:durableId="59051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F1"/>
    <w:rsid w:val="00003E08"/>
    <w:rsid w:val="00062738"/>
    <w:rsid w:val="000F7B9A"/>
    <w:rsid w:val="00100B89"/>
    <w:rsid w:val="001B03BF"/>
    <w:rsid w:val="001C54F1"/>
    <w:rsid w:val="0028308B"/>
    <w:rsid w:val="002B5D92"/>
    <w:rsid w:val="00360A91"/>
    <w:rsid w:val="00386B2E"/>
    <w:rsid w:val="0039383F"/>
    <w:rsid w:val="00393D19"/>
    <w:rsid w:val="00404B7B"/>
    <w:rsid w:val="00405A77"/>
    <w:rsid w:val="00440CEC"/>
    <w:rsid w:val="004E2C2C"/>
    <w:rsid w:val="0053478D"/>
    <w:rsid w:val="005A704A"/>
    <w:rsid w:val="005B6C03"/>
    <w:rsid w:val="00652114"/>
    <w:rsid w:val="00685B15"/>
    <w:rsid w:val="006F2AC9"/>
    <w:rsid w:val="007710D0"/>
    <w:rsid w:val="00792ACC"/>
    <w:rsid w:val="0083740B"/>
    <w:rsid w:val="00846E38"/>
    <w:rsid w:val="00853D75"/>
    <w:rsid w:val="00861AD7"/>
    <w:rsid w:val="00867D19"/>
    <w:rsid w:val="008C4B59"/>
    <w:rsid w:val="008E03AF"/>
    <w:rsid w:val="008E266C"/>
    <w:rsid w:val="009655C2"/>
    <w:rsid w:val="009B7D42"/>
    <w:rsid w:val="009F7471"/>
    <w:rsid w:val="00AB17F4"/>
    <w:rsid w:val="00AF6993"/>
    <w:rsid w:val="00B24F61"/>
    <w:rsid w:val="00C076C2"/>
    <w:rsid w:val="00C40C01"/>
    <w:rsid w:val="00C91594"/>
    <w:rsid w:val="00CF722A"/>
    <w:rsid w:val="00DB10B3"/>
    <w:rsid w:val="00DB1975"/>
    <w:rsid w:val="00DC5534"/>
    <w:rsid w:val="00E24C07"/>
    <w:rsid w:val="00EC2E15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169"/>
  <w15:chartTrackingRefBased/>
  <w15:docId w15:val="{0A5593EB-2833-49F5-AA7B-DC77BCB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4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C9"/>
  </w:style>
  <w:style w:type="paragraph" w:styleId="Footer">
    <w:name w:val="footer"/>
    <w:basedOn w:val="Normal"/>
    <w:link w:val="FooterChar"/>
    <w:uiPriority w:val="99"/>
    <w:unhideWhenUsed/>
    <w:rsid w:val="006F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SCOPE</dc:title>
  <dc:subject/>
  <dc:creator>Cerilli, Silvia (ESS)</dc:creator>
  <cp:keywords/>
  <dc:description/>
  <cp:lastModifiedBy>Cerilli, Silvia (ESS)</cp:lastModifiedBy>
  <cp:revision>2</cp:revision>
  <dcterms:created xsi:type="dcterms:W3CDTF">2025-10-24T14:18:00Z</dcterms:created>
  <dcterms:modified xsi:type="dcterms:W3CDTF">2025-10-24T14:18:00Z</dcterms:modified>
</cp:coreProperties>
</file>