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vo" w:cs="Arvo" w:eastAsia="Arvo" w:hAnsi="Arvo"/>
          <w:b w:val="1"/>
          <w:color w:val="0000ff"/>
          <w:sz w:val="32"/>
          <w:szCs w:val="32"/>
        </w:rPr>
      </w:pPr>
      <w:r w:rsidDel="00000000" w:rsidR="00000000" w:rsidRPr="00000000">
        <w:rPr>
          <w:rFonts w:ascii="Arvo" w:cs="Arvo" w:eastAsia="Arvo" w:hAnsi="Arvo"/>
          <w:b w:val="1"/>
          <w:color w:val="0000ff"/>
          <w:sz w:val="32"/>
          <w:szCs w:val="32"/>
          <w:rtl w:val="0"/>
        </w:rPr>
        <w:t xml:space="preserve">My First Blog Post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this I will be going all out to check out the capabilities of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cyan"/>
          <w:rtl w:val="0"/>
        </w:rPr>
        <w:t xml:space="preserve">fastpages.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is to check options of bulletin support.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 2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285561" cy="32622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561" cy="326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Checking Picture Support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