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MyNUST Lecture Notes and Speaker Script</w:t>
      </w:r>
    </w:p>
    <w:p>
      <w:pPr>
        <w:jc w:val="center"/>
      </w:pPr>
      <w:r>
        <w:t>MyNUST Student Workplace | SCS2114 Web Development | Mthokozisi Dlamini</w:t>
      </w:r>
    </w:p>
    <w:p/>
    <w:p>
      <w:pPr>
        <w:pStyle w:val="Heading1"/>
      </w:pPr>
      <w:r>
        <w:t>Opening</w:t>
      </w:r>
    </w:p>
    <w:p>
      <w:r>
        <w:t>Good day, lecturer and fellow students. My name is Mthokozisi Dlamini. I am presenting MyNUST, a student academic workplace developed for SCS2114 Web Development.</w:t>
      </w:r>
    </w:p>
    <w:p>
      <w:pPr>
        <w:pStyle w:val="Heading1"/>
      </w:pPr>
      <w:r>
        <w:t>The problem</w:t>
      </w:r>
    </w:p>
    <w:p>
      <w:r>
        <w:t>MyNUST responds to fragmented student information. A student should not have to search several interfaces just to understand current modules, upcoming work and personal progress.</w:t>
      </w:r>
    </w:p>
    <w:p>
      <w:pPr>
        <w:pStyle w:val="Heading1"/>
      </w:pPr>
      <w:r>
        <w:t>Demonstration flow</w:t>
      </w:r>
    </w:p>
    <w:p>
      <w:r>
        <w:t>I begin at the welcome screen, create or enter an account, open the dashboard, select a module, tick topics, enter academic evidence and observe the calculated progress update.</w:t>
      </w:r>
    </w:p>
    <w:p>
      <w:pPr>
        <w:pStyle w:val="Heading1"/>
      </w:pPr>
      <w:r>
        <w:t>Progress calculation</w:t>
      </w:r>
    </w:p>
    <w:p>
      <w:r>
        <w:t>The progress result is not a random number and it is not copied from another user. The application calculates it from completed topics, submitted assignments, quiz results, attendance and exam marks. The weights are topics twenty-five percent, assignments twenty percent, quizzes twenty percent, attendance fifteen percent and exams twenty percent.</w:t>
      </w:r>
    </w:p>
    <w:p>
      <w:pPr>
        <w:pStyle w:val="Heading1"/>
      </w:pPr>
      <w:r>
        <w:t>Algorithms</w:t>
      </w:r>
    </w:p>
    <w:p>
      <w:r>
        <w:t>The main algorithm is weighted aggregation. The application also uses topic percentage calculation, linear search for module filtering, object-key lookup, SQL record lookup, range validation and password verification through Werkzeug. The module search is linear in the number of module records, which is appropriate for this small library.</w:t>
      </w:r>
    </w:p>
    <w:p>
      <w:pPr>
        <w:pStyle w:val="Heading1"/>
      </w:pPr>
      <w:r>
        <w:t>Data structures</w:t>
      </w:r>
    </w:p>
    <w:p>
      <w:r>
        <w:t>The project uses a relational SQLite users table, JavaScript objects for module and student records, arrays for topics and completed indexes, JSON for browser and HTTP data, DOM collections for interface elements and a session dictionary for the authenticated user.</w:t>
      </w:r>
    </w:p>
    <w:p>
      <w:pPr>
        <w:pStyle w:val="Heading1"/>
      </w:pPr>
      <w:r>
        <w:t>Sixteen modules</w:t>
      </w:r>
    </w:p>
    <w:p>
      <w:r>
        <w:t>All sixteen modules informed the project, but not in the same way. SCS2114, SCS1101, SCS1213, SCS1212, SCS1214, SCS1210, SORS2107, SCS2104, SCS1103, SCS1111 and the remaining systems and foundation modules each contribute a specific foundation. Some are direct implementation modules, while Electricity and Magnetism, Calculus, Linear Algebra, Digital Electronics and Architecture contribute indirectly through systems thinking, quantitative reasoning and representation of state.</w:t>
      </w:r>
    </w:p>
    <w:p>
      <w:pPr>
        <w:pStyle w:val="Heading1"/>
      </w:pPr>
      <w:r>
        <w:t>Security and ethics</w:t>
      </w:r>
    </w:p>
    <w:p>
      <w:r>
        <w:t>The backend hashes passwords, validates input, uses parameterized queries and stores session identity securely. The public static demonstration is clearly limited because GitHub Pages cannot run Flask. A production university system would require official identity management, verified data sources, backups and audit logs.</w:t>
      </w:r>
    </w:p>
    <w:p>
      <w:pPr>
        <w:pStyle w:val="Heading1"/>
      </w:pPr>
      <w:r>
        <w:t>Closing</w:t>
      </w:r>
    </w:p>
    <w:p>
      <w:r>
        <w:t>MyNUST demonstrates how web development can connect requirements analysis, user interface design, algorithms, data structures, databases, security and professional responsibility into one practical student-facing system. Thank you.</w:t>
      </w:r>
    </w:p>
    <w:p>
      <w:pPr>
        <w:pStyle w:val="Heading1"/>
      </w:pPr>
      <w:r>
        <w:t>System overview</w:t>
      </w:r>
    </w:p>
    <w:p>
      <w:r>
        <w:t>MyNUST is a personalised academic workplace for NUST Computer Science students. It combines an authenticated entry point, a module library, module detail panels, topic checklists, private notes, academic evidence and calculated progress. The frontend is implemented with HTML, CSS and JavaScript. The secure version uses Flask, SQLite, Werkzeug password hashing and HTTP-only sessions.</w:t>
      </w:r>
    </w:p>
    <w:p>
      <w:pPr>
        <w:pStyle w:val="Heading1"/>
      </w:pPr>
      <w:r>
        <w:t>Progress calculation</w:t>
      </w:r>
    </w:p>
    <w:p>
      <w:r>
        <w:t>For each module, progress is calculated from five evidence categories: completed topics 25%, submitted assignments 20%, quiz average 20%, attendance 15% and exam mark 20%. The application stores these values under the student's identity and recalculates the result whenever an input changes.</w:t>
      </w:r>
    </w:p>
    <w:p>
      <w:r>
        <w:t>Formula: progress = (topic percentage x 0.25) + (assignment percentage x 0.20) + (quiz percentage x 0.20) + (attendance percentage x 0.15) + (exam percentage x 0.20).</w:t>
      </w:r>
    </w:p>
    <w:p>
      <w:pPr>
        <w:pStyle w:val="Heading1"/>
      </w:pPr>
      <w:r>
        <w:t>Algorithms implemented</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Algorithm</w:t>
            </w:r>
          </w:p>
        </w:tc>
        <w:tc>
          <w:tcPr>
            <w:tcW w:type="dxa" w:w="4320"/>
            <w:vAlign w:val="center"/>
          </w:tcPr>
          <w:p>
            <w:r>
              <w:rPr>
                <w:b/>
              </w:rPr>
              <w:t>How it is used</w:t>
            </w:r>
          </w:p>
        </w:tc>
      </w:tr>
      <w:tr>
        <w:tc>
          <w:tcPr>
            <w:tcW w:type="dxa" w:w="4320"/>
            <w:vAlign w:val="center"/>
          </w:tcPr>
          <w:p>
            <w:r>
              <w:t>Weighted progress aggregation</w:t>
            </w:r>
          </w:p>
        </w:tc>
        <w:tc>
          <w:tcPr>
            <w:tcW w:type="dxa" w:w="4320"/>
            <w:vAlign w:val="center"/>
          </w:tcPr>
          <w:p>
            <w:r>
              <w:t>The system calculates progress as topics*0.25 + assignments*0.20 + quiz*0.20 + attendance*0.15 + exam*0.20, then rounds the result.</w:t>
            </w:r>
          </w:p>
        </w:tc>
      </w:tr>
      <w:tr>
        <w:tc>
          <w:tcPr>
            <w:tcW w:type="dxa" w:w="4320"/>
            <w:vAlign w:val="center"/>
          </w:tcPr>
          <w:p>
            <w:r>
              <w:t>Topic completion calculation</w:t>
            </w:r>
          </w:p>
        </w:tc>
        <w:tc>
          <w:tcPr>
            <w:tcW w:type="dxa" w:w="4320"/>
            <w:vAlign w:val="center"/>
          </w:tcPr>
          <w:p>
            <w:r>
              <w:t>The completed-topic count is divided by the total topic count and converted to a percentage.</w:t>
            </w:r>
          </w:p>
        </w:tc>
      </w:tr>
      <w:tr>
        <w:tc>
          <w:tcPr>
            <w:tcW w:type="dxa" w:w="4320"/>
            <w:vAlign w:val="center"/>
          </w:tcPr>
          <w:p>
            <w:r>
              <w:t>Linear module search</w:t>
            </w:r>
          </w:p>
        </w:tc>
        <w:tc>
          <w:tcPr>
            <w:tcW w:type="dxa" w:w="4320"/>
            <w:vAlign w:val="center"/>
          </w:tcPr>
          <w:p>
            <w:r>
              <w:t>The search query is normalized to lowercase and checked against each module's searchable text. This is O(n) for n modules.</w:t>
            </w:r>
          </w:p>
        </w:tc>
      </w:tr>
      <w:tr>
        <w:tc>
          <w:tcPr>
            <w:tcW w:type="dxa" w:w="4320"/>
            <w:vAlign w:val="center"/>
          </w:tcPr>
          <w:p>
            <w:r>
              <w:t>Record lookup</w:t>
            </w:r>
          </w:p>
        </w:tc>
        <w:tc>
          <w:tcPr>
            <w:tcW w:type="dxa" w:w="4320"/>
            <w:vAlign w:val="center"/>
          </w:tcPr>
          <w:p>
            <w:r>
              <w:t>JavaScript object keys and SQLite WHERE queries locate the current user's module record.</w:t>
            </w:r>
          </w:p>
        </w:tc>
      </w:tr>
      <w:tr>
        <w:tc>
          <w:tcPr>
            <w:tcW w:type="dxa" w:w="4320"/>
            <w:vAlign w:val="center"/>
          </w:tcPr>
          <w:p>
            <w:r>
              <w:t>Input validation and clamping</w:t>
            </w:r>
          </w:p>
        </w:tc>
        <w:tc>
          <w:tcPr>
            <w:tcW w:type="dxa" w:w="4320"/>
            <w:vAlign w:val="center"/>
          </w:tcPr>
          <w:p>
            <w:r>
              <w:t>Names, passwords and numeric evidence are checked, and academic values are constrained to valid ranges.</w:t>
            </w:r>
          </w:p>
        </w:tc>
      </w:tr>
      <w:tr>
        <w:tc>
          <w:tcPr>
            <w:tcW w:type="dxa" w:w="4320"/>
            <w:vAlign w:val="center"/>
          </w:tcPr>
          <w:p>
            <w:r>
              <w:t>Password verification</w:t>
            </w:r>
          </w:p>
        </w:tc>
        <w:tc>
          <w:tcPr>
            <w:tcW w:type="dxa" w:w="4320"/>
            <w:vAlign w:val="center"/>
          </w:tcPr>
          <w:p>
            <w:r>
              <w:t>Werkzeug's password hashing and verification functions perform salted password hashing and comparison in the Flask backend.</w:t>
            </w:r>
          </w:p>
        </w:tc>
      </w:tr>
    </w:tbl>
    <w:p>
      <w:r>
        <w:t>The main progress algorithm is deterministic. The same evidence produces the same result, while the evidence itself remains specific to the authenticated student.</w:t>
      </w:r>
    </w:p>
    <w:p>
      <w:pPr>
        <w:pStyle w:val="Heading1"/>
      </w:pPr>
      <w:r>
        <w:t>Data structures implemented</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Data structure</w:t>
            </w:r>
          </w:p>
        </w:tc>
        <w:tc>
          <w:tcPr>
            <w:tcW w:type="dxa" w:w="4320"/>
            <w:vAlign w:val="center"/>
          </w:tcPr>
          <w:p>
            <w:r>
              <w:rPr>
                <w:b/>
              </w:rPr>
              <w:t>Use in MyNUST</w:t>
            </w:r>
          </w:p>
        </w:tc>
      </w:tr>
      <w:tr>
        <w:tc>
          <w:tcPr>
            <w:tcW w:type="dxa" w:w="4320"/>
            <w:vAlign w:val="center"/>
          </w:tcPr>
          <w:p>
            <w:r>
              <w:t>SQLite relational table</w:t>
            </w:r>
          </w:p>
        </w:tc>
        <w:tc>
          <w:tcPr>
            <w:tcW w:type="dxa" w:w="4320"/>
            <w:vAlign w:val="center"/>
          </w:tcPr>
          <w:p>
            <w:r>
              <w:t>The users table stores id, name, password_hash and created_at with a unique case-insensitive name constraint.</w:t>
            </w:r>
          </w:p>
        </w:tc>
      </w:tr>
      <w:tr>
        <w:tc>
          <w:tcPr>
            <w:tcW w:type="dxa" w:w="4320"/>
            <w:vAlign w:val="center"/>
          </w:tcPr>
          <w:p>
            <w:r>
              <w:t>JavaScript objects/maps</w:t>
            </w:r>
          </w:p>
        </w:tc>
        <w:tc>
          <w:tcPr>
            <w:tcW w:type="dxa" w:w="4320"/>
            <w:vAlign w:val="center"/>
          </w:tcPr>
          <w:p>
            <w:r>
              <w:t>moduleDetails maps module codes to titles, descriptions and topics; per-user records map module codes to study evidence.</w:t>
            </w:r>
          </w:p>
        </w:tc>
      </w:tr>
      <w:tr>
        <w:tc>
          <w:tcPr>
            <w:tcW w:type="dxa" w:w="4320"/>
            <w:vAlign w:val="center"/>
          </w:tcPr>
          <w:p>
            <w:r>
              <w:t>Arrays</w:t>
            </w:r>
          </w:p>
        </w:tc>
        <w:tc>
          <w:tcPr>
            <w:tcW w:type="dxa" w:w="4320"/>
            <w:vAlign w:val="center"/>
          </w:tcPr>
          <w:p>
            <w:r>
              <w:t>Topic lists, completed topic indexes, module rows and selected checkboxes are processed as arrays.</w:t>
            </w:r>
          </w:p>
        </w:tc>
      </w:tr>
      <w:tr>
        <w:tc>
          <w:tcPr>
            <w:tcW w:type="dxa" w:w="4320"/>
            <w:vAlign w:val="center"/>
          </w:tcPr>
          <w:p>
            <w:r>
              <w:t>JSON objects</w:t>
            </w:r>
          </w:p>
        </w:tc>
        <w:tc>
          <w:tcPr>
            <w:tcW w:type="dxa" w:w="4320"/>
            <w:vAlign w:val="center"/>
          </w:tcPr>
          <w:p>
            <w:r>
              <w:t>Browser fallback records and HTTP request/response bodies use JSON structures.</w:t>
            </w:r>
          </w:p>
        </w:tc>
      </w:tr>
      <w:tr>
        <w:tc>
          <w:tcPr>
            <w:tcW w:type="dxa" w:w="4320"/>
            <w:vAlign w:val="center"/>
          </w:tcPr>
          <w:p>
            <w:r>
              <w:t>DOM tree and collections</w:t>
            </w:r>
          </w:p>
        </w:tc>
        <w:tc>
          <w:tcPr>
            <w:tcW w:type="dxa" w:w="4320"/>
            <w:vAlign w:val="center"/>
          </w:tcPr>
          <w:p>
            <w:r>
              <w:t>The browser DOM represents the interface; querySelectorAll returns collections used for filtering and event binding.</w:t>
            </w:r>
          </w:p>
        </w:tc>
      </w:tr>
      <w:tr>
        <w:tc>
          <w:tcPr>
            <w:tcW w:type="dxa" w:w="4320"/>
            <w:vAlign w:val="center"/>
          </w:tcPr>
          <w:p>
            <w:r>
              <w:t>Session dictionary</w:t>
            </w:r>
          </w:p>
        </w:tc>
        <w:tc>
          <w:tcPr>
            <w:tcW w:type="dxa" w:w="4320"/>
            <w:vAlign w:val="center"/>
          </w:tcPr>
          <w:p>
            <w:r>
              <w:t>Flask sessions hold the authenticated user id and user name in a signed server-side session cookie.</w:t>
            </w:r>
          </w:p>
        </w:tc>
      </w:tr>
    </w:tbl>
    <w:p>
      <w:pPr>
        <w:pStyle w:val="Heading1"/>
      </w:pPr>
      <w:r>
        <w:t>Security and ethics</w:t>
      </w:r>
    </w:p>
    <w:p>
      <w:r>
        <w:t>The Flask backend validates names and password length, hashes passwords instead of storing plain text, uses parameterized SQL queries, clears and sets authenticated sessions, and marks cookies HTTP-only. The GitHub Pages demonstration has a browser-local fallback because static hosting cannot execute Python. It should be described as a demonstration mode, not as a replacement for a production university authentication service.</w:t>
      </w:r>
    </w:p>
    <w:p>
      <w:pPr>
        <w:pStyle w:val="Heading1"/>
      </w:pPr>
      <w:r>
        <w:t>Limitations and future work</w:t>
      </w:r>
    </w:p>
    <w:p>
      <w:r>
        <w:t>The current prototype accepts academic evidence as input rather than receiving it from official assignment, quiz, attendance and examination systems. A production system would add lecturer and administrator roles, verified submissions, automatic quiz results, attendance integration, official marks, email verification, password reset, a managed database, backups and audit logs.</w:t>
      </w:r>
    </w:p>
    <w:p>
      <w:pPr>
        <w:pStyle w:val="Heading1"/>
      </w:pPr>
      <w:r>
        <w:t>Use of the 16 university modules</w:t>
      </w:r>
    </w:p>
    <w:p>
      <w:r>
        <w:t>All 16 modules informed the project, but they were not all used as direct coding dependencies. This distinction is important. Eight modules contribute directly to the implementation and eight contribute indirectly through mathematical, systems or professional foundations.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Code</w:t>
            </w:r>
          </w:p>
        </w:tc>
        <w:tc>
          <w:tcPr>
            <w:tcW w:type="dxa" w:w="2160"/>
            <w:vAlign w:val="center"/>
          </w:tcPr>
          <w:p>
            <w:r>
              <w:rPr>
                <w:b/>
              </w:rPr>
              <w:t>Module</w:t>
            </w:r>
          </w:p>
        </w:tc>
        <w:tc>
          <w:tcPr>
            <w:tcW w:type="dxa" w:w="2160"/>
            <w:vAlign w:val="center"/>
          </w:tcPr>
          <w:p>
            <w:r>
              <w:rPr>
                <w:b/>
              </w:rPr>
              <w:t>Use</w:t>
            </w:r>
          </w:p>
        </w:tc>
        <w:tc>
          <w:tcPr>
            <w:tcW w:type="dxa" w:w="2160"/>
            <w:vAlign w:val="center"/>
          </w:tcPr>
          <w:p>
            <w:r>
              <w:rPr>
                <w:b/>
              </w:rPr>
              <w:t>Contribution</w:t>
            </w:r>
          </w:p>
        </w:tc>
      </w:tr>
      <w:tr>
        <w:tc>
          <w:tcPr>
            <w:tcW w:type="dxa" w:w="2160"/>
            <w:vAlign w:val="center"/>
          </w:tcPr>
          <w:p>
            <w:r>
              <w:t>SPH1105</w:t>
            </w:r>
          </w:p>
        </w:tc>
        <w:tc>
          <w:tcPr>
            <w:tcW w:type="dxa" w:w="2160"/>
            <w:vAlign w:val="center"/>
          </w:tcPr>
          <w:p>
            <w:r>
              <w:t>Electricity and Magnetism</w:t>
            </w:r>
          </w:p>
        </w:tc>
        <w:tc>
          <w:tcPr>
            <w:tcW w:type="dxa" w:w="2160"/>
            <w:vAlign w:val="center"/>
          </w:tcPr>
          <w:p>
            <w:r>
              <w:t>Indirect</w:t>
            </w:r>
          </w:p>
        </w:tc>
        <w:tc>
          <w:tcPr>
            <w:tcW w:type="dxa" w:w="2160"/>
            <w:vAlign w:val="center"/>
          </w:tcPr>
          <w:p>
            <w:r>
              <w:t>Systems thinking and the physical technology context of computers and networks. It is not a core software dependency.</w:t>
            </w:r>
          </w:p>
        </w:tc>
      </w:tr>
      <w:tr>
        <w:tc>
          <w:tcPr>
            <w:tcW w:type="dxa" w:w="2160"/>
            <w:vAlign w:val="center"/>
          </w:tcPr>
          <w:p>
            <w:r>
              <w:t>SMA1101</w:t>
            </w:r>
          </w:p>
        </w:tc>
        <w:tc>
          <w:tcPr>
            <w:tcW w:type="dxa" w:w="2160"/>
            <w:vAlign w:val="center"/>
          </w:tcPr>
          <w:p>
            <w:r>
              <w:t>Calculus</w:t>
            </w:r>
          </w:p>
        </w:tc>
        <w:tc>
          <w:tcPr>
            <w:tcW w:type="dxa" w:w="2160"/>
            <w:vAlign w:val="center"/>
          </w:tcPr>
          <w:p>
            <w:r>
              <w:t>Indirect</w:t>
            </w:r>
          </w:p>
        </w:tc>
        <w:tc>
          <w:tcPr>
            <w:tcW w:type="dxa" w:w="2160"/>
            <w:vAlign w:val="center"/>
          </w:tcPr>
          <w:p>
            <w:r>
              <w:t>Mathematical reasoning used when thinking about continuous measures and progress percentages. No calculus routine is required by the application.</w:t>
            </w:r>
          </w:p>
        </w:tc>
      </w:tr>
      <w:tr>
        <w:tc>
          <w:tcPr>
            <w:tcW w:type="dxa" w:w="2160"/>
            <w:vAlign w:val="center"/>
          </w:tcPr>
          <w:p>
            <w:r>
              <w:t>SMA1102</w:t>
            </w:r>
          </w:p>
        </w:tc>
        <w:tc>
          <w:tcPr>
            <w:tcW w:type="dxa" w:w="2160"/>
            <w:vAlign w:val="center"/>
          </w:tcPr>
          <w:p>
            <w:r>
              <w:t>Linear Algebra</w:t>
            </w:r>
          </w:p>
        </w:tc>
        <w:tc>
          <w:tcPr>
            <w:tcW w:type="dxa" w:w="2160"/>
            <w:vAlign w:val="center"/>
          </w:tcPr>
          <w:p>
            <w:r>
              <w:t>Indirect</w:t>
            </w:r>
          </w:p>
        </w:tc>
        <w:tc>
          <w:tcPr>
            <w:tcW w:type="dxa" w:w="2160"/>
            <w:vAlign w:val="center"/>
          </w:tcPr>
          <w:p>
            <w:r>
              <w:t>Structured quantitative thinking and representation of related values. No matrix algorithm is part of the current application.</w:t>
            </w:r>
          </w:p>
        </w:tc>
      </w:tr>
      <w:tr>
        <w:tc>
          <w:tcPr>
            <w:tcW w:type="dxa" w:w="2160"/>
            <w:vAlign w:val="center"/>
          </w:tcPr>
          <w:p>
            <w:r>
              <w:t>SCS1101</w:t>
            </w:r>
          </w:p>
        </w:tc>
        <w:tc>
          <w:tcPr>
            <w:tcW w:type="dxa" w:w="2160"/>
            <w:vAlign w:val="center"/>
          </w:tcPr>
          <w:p>
            <w:r>
              <w:t>Introduction to Computer Science and Programming</w:t>
            </w:r>
          </w:p>
        </w:tc>
        <w:tc>
          <w:tcPr>
            <w:tcW w:type="dxa" w:w="2160"/>
            <w:vAlign w:val="center"/>
          </w:tcPr>
          <w:p>
            <w:r>
              <w:t>Direct</w:t>
            </w:r>
          </w:p>
        </w:tc>
        <w:tc>
          <w:tcPr>
            <w:tcW w:type="dxa" w:w="2160"/>
            <w:vAlign w:val="center"/>
          </w:tcPr>
          <w:p>
            <w:r>
              <w:t>HTML, CSS, JavaScript, variables, control flow, data structures, files, algorithms and database concepts.</w:t>
            </w:r>
          </w:p>
        </w:tc>
      </w:tr>
      <w:tr>
        <w:tc>
          <w:tcPr>
            <w:tcW w:type="dxa" w:w="2160"/>
            <w:vAlign w:val="center"/>
          </w:tcPr>
          <w:p>
            <w:r>
              <w:t>SCS1103</w:t>
            </w:r>
          </w:p>
        </w:tc>
        <w:tc>
          <w:tcPr>
            <w:tcW w:type="dxa" w:w="2160"/>
            <w:vAlign w:val="center"/>
          </w:tcPr>
          <w:p>
            <w:r>
              <w:t>Operating Systems</w:t>
            </w:r>
          </w:p>
        </w:tc>
        <w:tc>
          <w:tcPr>
            <w:tcW w:type="dxa" w:w="2160"/>
            <w:vAlign w:val="center"/>
          </w:tcPr>
          <w:p>
            <w:r>
              <w:t>Direct</w:t>
            </w:r>
          </w:p>
        </w:tc>
        <w:tc>
          <w:tcPr>
            <w:tcW w:type="dxa" w:w="2160"/>
            <w:vAlign w:val="center"/>
          </w:tcPr>
          <w:p>
            <w:r>
              <w:t>Client-server execution, processes, file paths, sessions, environment variables and secure separation of services.</w:t>
            </w:r>
          </w:p>
        </w:tc>
      </w:tr>
      <w:tr>
        <w:tc>
          <w:tcPr>
            <w:tcW w:type="dxa" w:w="2160"/>
            <w:vAlign w:val="center"/>
          </w:tcPr>
          <w:p>
            <w:r>
              <w:t>SCS1111</w:t>
            </w:r>
          </w:p>
        </w:tc>
        <w:tc>
          <w:tcPr>
            <w:tcW w:type="dxa" w:w="2160"/>
            <w:vAlign w:val="center"/>
          </w:tcPr>
          <w:p>
            <w:r>
              <w:t>Principles of Programming Languages</w:t>
            </w:r>
          </w:p>
        </w:tc>
        <w:tc>
          <w:tcPr>
            <w:tcW w:type="dxa" w:w="2160"/>
            <w:vAlign w:val="center"/>
          </w:tcPr>
          <w:p>
            <w:r>
              <w:t>Direct</w:t>
            </w:r>
          </w:p>
        </w:tc>
        <w:tc>
          <w:tcPr>
            <w:tcW w:type="dxa" w:w="2160"/>
            <w:vAlign w:val="center"/>
          </w:tcPr>
          <w:p>
            <w:r>
              <w:t>Procedural and event-driven JavaScript/Python, functions, abstraction, objects, callbacks and runtime behavior.</w:t>
            </w:r>
          </w:p>
        </w:tc>
      </w:tr>
      <w:tr>
        <w:tc>
          <w:tcPr>
            <w:tcW w:type="dxa" w:w="2160"/>
            <w:vAlign w:val="center"/>
          </w:tcPr>
          <w:p>
            <w:r>
              <w:t>SCS1112</w:t>
            </w:r>
          </w:p>
        </w:tc>
        <w:tc>
          <w:tcPr>
            <w:tcW w:type="dxa" w:w="2160"/>
            <w:vAlign w:val="center"/>
          </w:tcPr>
          <w:p>
            <w:r>
              <w:t>Fundamentals of Digital Electronics</w:t>
            </w:r>
          </w:p>
        </w:tc>
        <w:tc>
          <w:tcPr>
            <w:tcW w:type="dxa" w:w="2160"/>
            <w:vAlign w:val="center"/>
          </w:tcPr>
          <w:p>
            <w:r>
              <w:t>Indirect</w:t>
            </w:r>
          </w:p>
        </w:tc>
        <w:tc>
          <w:tcPr>
            <w:tcW w:type="dxa" w:w="2160"/>
            <w:vAlign w:val="center"/>
          </w:tcPr>
          <w:p>
            <w:r>
              <w:t>Binary thinking and state representation inform Boolean controls, checkboxes, flags and digital input validation.</w:t>
            </w:r>
          </w:p>
        </w:tc>
      </w:tr>
      <w:tr>
        <w:tc>
          <w:tcPr>
            <w:tcW w:type="dxa" w:w="2160"/>
            <w:vAlign w:val="center"/>
          </w:tcPr>
          <w:p>
            <w:r>
              <w:t>SCS1211</w:t>
            </w:r>
          </w:p>
        </w:tc>
        <w:tc>
          <w:tcPr>
            <w:tcW w:type="dxa" w:w="2160"/>
            <w:vAlign w:val="center"/>
          </w:tcPr>
          <w:p>
            <w:r>
              <w:t>Computer Architecture and Organization</w:t>
            </w:r>
          </w:p>
        </w:tc>
        <w:tc>
          <w:tcPr>
            <w:tcW w:type="dxa" w:w="2160"/>
            <w:vAlign w:val="center"/>
          </w:tcPr>
          <w:p>
            <w:r>
              <w:t>Indirect</w:t>
            </w:r>
          </w:p>
        </w:tc>
        <w:tc>
          <w:tcPr>
            <w:tcW w:type="dxa" w:w="2160"/>
            <w:vAlign w:val="center"/>
          </w:tcPr>
          <w:p>
            <w:r>
              <w:t>Client/server and storage decisions are explained using memory, processing, input/output and locality concepts.</w:t>
            </w:r>
          </w:p>
        </w:tc>
      </w:tr>
      <w:tr>
        <w:tc>
          <w:tcPr>
            <w:tcW w:type="dxa" w:w="2160"/>
            <w:vAlign w:val="center"/>
          </w:tcPr>
          <w:p>
            <w:r>
              <w:t>SCS1212</w:t>
            </w:r>
          </w:p>
        </w:tc>
        <w:tc>
          <w:tcPr>
            <w:tcW w:type="dxa" w:w="2160"/>
            <w:vAlign w:val="center"/>
          </w:tcPr>
          <w:p>
            <w:r>
              <w:t>Data Structures and Algorithms</w:t>
            </w:r>
          </w:p>
        </w:tc>
        <w:tc>
          <w:tcPr>
            <w:tcW w:type="dxa" w:w="2160"/>
            <w:vAlign w:val="center"/>
          </w:tcPr>
          <w:p>
            <w:r>
              <w:t>Direct</w:t>
            </w:r>
          </w:p>
        </w:tc>
        <w:tc>
          <w:tcPr>
            <w:tcW w:type="dxa" w:w="2160"/>
            <w:vAlign w:val="center"/>
          </w:tcPr>
          <w:p>
            <w:r>
              <w:t>Arrays, objects/maps, lists, linear search, filtering, aggregation, complexity and progress calculation.</w:t>
            </w:r>
          </w:p>
        </w:tc>
      </w:tr>
      <w:tr>
        <w:tc>
          <w:tcPr>
            <w:tcW w:type="dxa" w:w="2160"/>
            <w:vAlign w:val="center"/>
          </w:tcPr>
          <w:p>
            <w:r>
              <w:t>SCS1213</w:t>
            </w:r>
          </w:p>
        </w:tc>
        <w:tc>
          <w:tcPr>
            <w:tcW w:type="dxa" w:w="2160"/>
            <w:vAlign w:val="center"/>
          </w:tcPr>
          <w:p>
            <w:r>
              <w:t>Database Systems</w:t>
            </w:r>
          </w:p>
        </w:tc>
        <w:tc>
          <w:tcPr>
            <w:tcW w:type="dxa" w:w="2160"/>
            <w:vAlign w:val="center"/>
          </w:tcPr>
          <w:p>
            <w:r>
              <w:t>Direct</w:t>
            </w:r>
          </w:p>
        </w:tc>
        <w:tc>
          <w:tcPr>
            <w:tcW w:type="dxa" w:w="2160"/>
            <w:vAlign w:val="center"/>
          </w:tcPr>
          <w:p>
            <w:r>
              <w:t>SQLite users table, SQL queries, uniqueness constraints, CRUD operations and password-hash persistence.</w:t>
            </w:r>
          </w:p>
        </w:tc>
      </w:tr>
      <w:tr>
        <w:tc>
          <w:tcPr>
            <w:tcW w:type="dxa" w:w="2160"/>
            <w:vAlign w:val="center"/>
          </w:tcPr>
          <w:p>
            <w:r>
              <w:t>SCS1214</w:t>
            </w:r>
          </w:p>
        </w:tc>
        <w:tc>
          <w:tcPr>
            <w:tcW w:type="dxa" w:w="2160"/>
            <w:vAlign w:val="center"/>
          </w:tcPr>
          <w:p>
            <w:r>
              <w:t>Software Engineering</w:t>
            </w:r>
          </w:p>
        </w:tc>
        <w:tc>
          <w:tcPr>
            <w:tcW w:type="dxa" w:w="2160"/>
            <w:vAlign w:val="center"/>
          </w:tcPr>
          <w:p>
            <w:r>
              <w:t>Direct</w:t>
            </w:r>
          </w:p>
        </w:tc>
        <w:tc>
          <w:tcPr>
            <w:tcW w:type="dxa" w:w="2160"/>
            <w:vAlign w:val="center"/>
          </w:tcPr>
          <w:p>
            <w:r>
              <w:t>Requirements, modular design, testing, version control, documentation, deployment and maintenance.</w:t>
            </w:r>
          </w:p>
        </w:tc>
      </w:tr>
      <w:tr>
        <w:tc>
          <w:tcPr>
            <w:tcW w:type="dxa" w:w="2160"/>
            <w:vAlign w:val="center"/>
          </w:tcPr>
          <w:p>
            <w:r>
              <w:t>SCS1210</w:t>
            </w:r>
          </w:p>
        </w:tc>
        <w:tc>
          <w:tcPr>
            <w:tcW w:type="dxa" w:w="2160"/>
            <w:vAlign w:val="center"/>
          </w:tcPr>
          <w:p>
            <w:r>
              <w:t>Discrete Mathematics</w:t>
            </w:r>
          </w:p>
        </w:tc>
        <w:tc>
          <w:tcPr>
            <w:tcW w:type="dxa" w:w="2160"/>
            <w:vAlign w:val="center"/>
          </w:tcPr>
          <w:p>
            <w:r>
              <w:t>Direct</w:t>
            </w:r>
          </w:p>
        </w:tc>
        <w:tc>
          <w:tcPr>
            <w:tcW w:type="dxa" w:w="2160"/>
            <w:vAlign w:val="center"/>
          </w:tcPr>
          <w:p>
            <w:r>
              <w:t>Sets, predicates, logical validation, relations between users/modules/records and finite weighted calculations.</w:t>
            </w:r>
          </w:p>
        </w:tc>
      </w:tr>
      <w:tr>
        <w:tc>
          <w:tcPr>
            <w:tcW w:type="dxa" w:w="2160"/>
            <w:vAlign w:val="center"/>
          </w:tcPr>
          <w:p>
            <w:r>
              <w:t>SCS1215</w:t>
            </w:r>
          </w:p>
        </w:tc>
        <w:tc>
          <w:tcPr>
            <w:tcW w:type="dxa" w:w="2160"/>
            <w:vAlign w:val="center"/>
          </w:tcPr>
          <w:p>
            <w:r>
              <w:t>Ethics and Professionalism</w:t>
            </w:r>
          </w:p>
        </w:tc>
        <w:tc>
          <w:tcPr>
            <w:tcW w:type="dxa" w:w="2160"/>
            <w:vAlign w:val="center"/>
          </w:tcPr>
          <w:p>
            <w:r>
              <w:t>Direct</w:t>
            </w:r>
          </w:p>
        </w:tc>
        <w:tc>
          <w:tcPr>
            <w:tcW w:type="dxa" w:w="2160"/>
            <w:vAlign w:val="center"/>
          </w:tcPr>
          <w:p>
            <w:r>
              <w:t>Privacy, password hashing, HTTP-only sessions, responsible data handling and limitations of self-reported evidence.</w:t>
            </w:r>
          </w:p>
        </w:tc>
      </w:tr>
      <w:tr>
        <w:tc>
          <w:tcPr>
            <w:tcW w:type="dxa" w:w="2160"/>
            <w:vAlign w:val="center"/>
          </w:tcPr>
          <w:p>
            <w:r>
              <w:t>SORS2107</w:t>
            </w:r>
          </w:p>
        </w:tc>
        <w:tc>
          <w:tcPr>
            <w:tcW w:type="dxa" w:w="2160"/>
            <w:vAlign w:val="center"/>
          </w:tcPr>
          <w:p>
            <w:r>
              <w:t>Applied Statistics for Computing</w:t>
            </w:r>
          </w:p>
        </w:tc>
        <w:tc>
          <w:tcPr>
            <w:tcW w:type="dxa" w:w="2160"/>
            <w:vAlign w:val="center"/>
          </w:tcPr>
          <w:p>
            <w:r>
              <w:t>Direct</w:t>
            </w:r>
          </w:p>
        </w:tc>
        <w:tc>
          <w:tcPr>
            <w:tcW w:type="dxa" w:w="2160"/>
            <w:vAlign w:val="center"/>
          </w:tcPr>
          <w:p>
            <w:r>
              <w:t>Quiz averages, attendance percentages, marks and the weighted academic progress calculation.</w:t>
            </w:r>
          </w:p>
        </w:tc>
      </w:tr>
      <w:tr>
        <w:tc>
          <w:tcPr>
            <w:tcW w:type="dxa" w:w="2160"/>
            <w:vAlign w:val="center"/>
          </w:tcPr>
          <w:p>
            <w:r>
              <w:t>SCS2104</w:t>
            </w:r>
          </w:p>
        </w:tc>
        <w:tc>
          <w:tcPr>
            <w:tcW w:type="dxa" w:w="2160"/>
            <w:vAlign w:val="center"/>
          </w:tcPr>
          <w:p>
            <w:r>
              <w:t>Structured System Analysis and Design</w:t>
            </w:r>
          </w:p>
        </w:tc>
        <w:tc>
          <w:tcPr>
            <w:tcW w:type="dxa" w:w="2160"/>
            <w:vAlign w:val="center"/>
          </w:tcPr>
          <w:p>
            <w:r>
              <w:t>Direct</w:t>
            </w:r>
          </w:p>
        </w:tc>
        <w:tc>
          <w:tcPr>
            <w:tcW w:type="dxa" w:w="2160"/>
            <w:vAlign w:val="center"/>
          </w:tcPr>
          <w:p>
            <w:r>
              <w:t>Requirements analysis, actor identification, data flows, module decomposition, documentation and workflow design.</w:t>
            </w:r>
          </w:p>
        </w:tc>
      </w:tr>
      <w:tr>
        <w:tc>
          <w:tcPr>
            <w:tcW w:type="dxa" w:w="2160"/>
            <w:vAlign w:val="center"/>
          </w:tcPr>
          <w:p>
            <w:r>
              <w:t>SCS2114</w:t>
            </w:r>
          </w:p>
        </w:tc>
        <w:tc>
          <w:tcPr>
            <w:tcW w:type="dxa" w:w="2160"/>
            <w:vAlign w:val="center"/>
          </w:tcPr>
          <w:p>
            <w:r>
              <w:t>Web Development</w:t>
            </w:r>
          </w:p>
        </w:tc>
        <w:tc>
          <w:tcPr>
            <w:tcW w:type="dxa" w:w="2160"/>
            <w:vAlign w:val="center"/>
          </w:tcPr>
          <w:p>
            <w:r>
              <w:t>Direct</w:t>
            </w:r>
          </w:p>
        </w:tc>
        <w:tc>
          <w:tcPr>
            <w:tcW w:type="dxa" w:w="2160"/>
            <w:vAlign w:val="center"/>
          </w:tcPr>
          <w:p>
            <w:r>
              <w:t>Responsive HTML/CSS/JavaScript interface, Flask routes, forms, JSON requests, static deployment and database connection.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