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MyNUST Project Proposal</w:t>
      </w:r>
    </w:p>
    <w:p>
      <w:pPr>
        <w:jc w:val="center"/>
      </w:pPr>
      <w:r>
        <w:t>MyNUST Student Workplace | SCS2114 Web Development | Mthokozisi Dlamini</w:t>
      </w:r>
    </w:p>
    <w:p/>
    <w:p>
      <w:pPr>
        <w:pStyle w:val="Heading1"/>
      </w:pPr>
      <w:r>
        <w:t>1. Introduction</w:t>
      </w:r>
    </w:p>
    <w:p>
      <w:r>
        <w:t>This proposal presents MyNUST, a student academic workplace developed for SCS2114 Web Development. The project aims to provide a clear, responsive and personalised place where students can access module information, track learning evidence and organise their academic work.</w:t>
      </w:r>
    </w:p>
    <w:p>
      <w:pPr>
        <w:pStyle w:val="Heading1"/>
      </w:pPr>
      <w:r>
        <w:t>2. Background and problem statement</w:t>
      </w:r>
    </w:p>
    <w:p>
      <w:r>
        <w:t>Students often move between institutional websites, portals, library services and separate personal notes to understand what they should study next. The result is fragmented information and weak visibility of personal progress. MyNUST proposes one student-centred interface that connects module information, study actions and calculated progress.</w:t>
      </w:r>
    </w:p>
    <w:p>
      <w:pPr>
        <w:pStyle w:val="Heading1"/>
      </w:pPr>
      <w:r>
        <w:t>3. Aim and objectives</w:t>
      </w:r>
    </w:p>
    <w:p>
      <w:r>
        <w:t>The aim is to design and implement a useful academic workspace for NUST Computer Science students.</w:t>
      </w:r>
    </w:p>
    <w:p>
      <w:pPr>
        <w:pStyle w:val="ListBullet"/>
      </w:pPr>
      <w:r>
        <w:t>Provide a responsive dashboard for current modules and upcoming work.</w:t>
      </w:r>
    </w:p>
    <w:p>
      <w:pPr>
        <w:pStyle w:val="ListBullet"/>
      </w:pPr>
      <w:r>
        <w:t>Allow users to register and authenticate securely.</w:t>
      </w:r>
    </w:p>
    <w:p>
      <w:pPr>
        <w:pStyle w:val="ListBullet"/>
      </w:pPr>
      <w:r>
        <w:t>Allow each module to open its own topics, checklist and private notes.</w:t>
      </w:r>
    </w:p>
    <w:p>
      <w:pPr>
        <w:pStyle w:val="ListBullet"/>
      </w:pPr>
      <w:r>
        <w:t>Calculate progress from academic evidence rather than using shared hard-coded values.</w:t>
      </w:r>
    </w:p>
    <w:p>
      <w:pPr>
        <w:pStyle w:val="ListBullet"/>
      </w:pPr>
      <w:r>
        <w:t>Demonstrate the practical application of the 16 completed and current university modules.</w:t>
      </w:r>
    </w:p>
    <w:p>
      <w:pPr>
        <w:pStyle w:val="ListBullet"/>
      </w:pPr>
      <w:r>
        <w:t>Document, test and publish the prototype responsibly.</w:t>
      </w:r>
    </w:p>
    <w:p>
      <w:pPr>
        <w:pStyle w:val="Heading1"/>
      </w:pPr>
      <w:r>
        <w:t>4. Scope</w:t>
      </w:r>
    </w:p>
    <w:p>
      <w:r>
        <w:t>The scope includes the student frontend, module library, module study panels, browser-local demonstration mode, Flask authentication backend, SQLite user persistence, password hashing, progress calculation and project documentation. Direct integration with official NUST systems is outside the current scope.</w:t>
      </w:r>
    </w:p>
    <w:p>
      <w:pPr>
        <w:pStyle w:val="Heading1"/>
      </w:pPr>
      <w:r>
        <w:t>System overview</w:t>
      </w:r>
    </w:p>
    <w:p>
      <w:r>
        <w:t>MyNUST is a personalised academic workplace for NUST Computer Science students. It combines an authenticated entry point, a module library, module detail panels, topic checklists, private notes, academic evidence and calculated progress. The frontend is implemented with HTML, CSS and JavaScript. The secure version uses Flask, SQLite, Werkzeug password hashing and HTTP-only sessions.</w:t>
      </w:r>
    </w:p>
    <w:p>
      <w:pPr>
        <w:pStyle w:val="Heading1"/>
      </w:pPr>
      <w:r>
        <w:t>Progress calculation</w:t>
      </w:r>
    </w:p>
    <w:p>
      <w:r>
        <w:t>For each module, progress is calculated from five evidence categories: completed topics 25%, submitted assignments 20%, quiz average 20%, attendance 15% and exam mark 20%. The application stores these values under the student's identity and recalculates the result whenever an input changes.</w:t>
      </w:r>
    </w:p>
    <w:p>
      <w:r>
        <w:t>Formula: progress = (topic percentage x 0.25) + (assignment percentage x 0.20) + (quiz percentage x 0.20) + (attendance percentage x 0.15) + (exam percentage x 0.20).</w:t>
      </w:r>
    </w:p>
    <w:p>
      <w:pPr>
        <w:pStyle w:val="Heading1"/>
      </w:pPr>
      <w:r>
        <w:t>Algorithms implemented</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Algorithm</w:t>
            </w:r>
          </w:p>
        </w:tc>
        <w:tc>
          <w:tcPr>
            <w:tcW w:type="dxa" w:w="4320"/>
            <w:vAlign w:val="center"/>
          </w:tcPr>
          <w:p>
            <w:r>
              <w:rPr>
                <w:b/>
              </w:rPr>
              <w:t>How it is used</w:t>
            </w:r>
          </w:p>
        </w:tc>
      </w:tr>
      <w:tr>
        <w:tc>
          <w:tcPr>
            <w:tcW w:type="dxa" w:w="4320"/>
            <w:vAlign w:val="center"/>
          </w:tcPr>
          <w:p>
            <w:r>
              <w:t>Weighted progress aggregation</w:t>
            </w:r>
          </w:p>
        </w:tc>
        <w:tc>
          <w:tcPr>
            <w:tcW w:type="dxa" w:w="4320"/>
            <w:vAlign w:val="center"/>
          </w:tcPr>
          <w:p>
            <w:r>
              <w:t>The system calculates progress as topics*0.25 + assignments*0.20 + quiz*0.20 + attendance*0.15 + exam*0.20, then rounds the result.</w:t>
            </w:r>
          </w:p>
        </w:tc>
      </w:tr>
      <w:tr>
        <w:tc>
          <w:tcPr>
            <w:tcW w:type="dxa" w:w="4320"/>
            <w:vAlign w:val="center"/>
          </w:tcPr>
          <w:p>
            <w:r>
              <w:t>Topic completion calculation</w:t>
            </w:r>
          </w:p>
        </w:tc>
        <w:tc>
          <w:tcPr>
            <w:tcW w:type="dxa" w:w="4320"/>
            <w:vAlign w:val="center"/>
          </w:tcPr>
          <w:p>
            <w:r>
              <w:t>The completed-topic count is divided by the total topic count and converted to a percentage.</w:t>
            </w:r>
          </w:p>
        </w:tc>
      </w:tr>
      <w:tr>
        <w:tc>
          <w:tcPr>
            <w:tcW w:type="dxa" w:w="4320"/>
            <w:vAlign w:val="center"/>
          </w:tcPr>
          <w:p>
            <w:r>
              <w:t>Linear module search</w:t>
            </w:r>
          </w:p>
        </w:tc>
        <w:tc>
          <w:tcPr>
            <w:tcW w:type="dxa" w:w="4320"/>
            <w:vAlign w:val="center"/>
          </w:tcPr>
          <w:p>
            <w:r>
              <w:t>The search query is normalized to lowercase and checked against each module's searchable text. This is O(n) for n modules.</w:t>
            </w:r>
          </w:p>
        </w:tc>
      </w:tr>
      <w:tr>
        <w:tc>
          <w:tcPr>
            <w:tcW w:type="dxa" w:w="4320"/>
            <w:vAlign w:val="center"/>
          </w:tcPr>
          <w:p>
            <w:r>
              <w:t>Record lookup</w:t>
            </w:r>
          </w:p>
        </w:tc>
        <w:tc>
          <w:tcPr>
            <w:tcW w:type="dxa" w:w="4320"/>
            <w:vAlign w:val="center"/>
          </w:tcPr>
          <w:p>
            <w:r>
              <w:t>JavaScript object keys and SQLite WHERE queries locate the current user's module record.</w:t>
            </w:r>
          </w:p>
        </w:tc>
      </w:tr>
      <w:tr>
        <w:tc>
          <w:tcPr>
            <w:tcW w:type="dxa" w:w="4320"/>
            <w:vAlign w:val="center"/>
          </w:tcPr>
          <w:p>
            <w:r>
              <w:t>Input validation and clamping</w:t>
            </w:r>
          </w:p>
        </w:tc>
        <w:tc>
          <w:tcPr>
            <w:tcW w:type="dxa" w:w="4320"/>
            <w:vAlign w:val="center"/>
          </w:tcPr>
          <w:p>
            <w:r>
              <w:t>Names, passwords and numeric evidence are checked, and academic values are constrained to valid ranges.</w:t>
            </w:r>
          </w:p>
        </w:tc>
      </w:tr>
      <w:tr>
        <w:tc>
          <w:tcPr>
            <w:tcW w:type="dxa" w:w="4320"/>
            <w:vAlign w:val="center"/>
          </w:tcPr>
          <w:p>
            <w:r>
              <w:t>Password verification</w:t>
            </w:r>
          </w:p>
        </w:tc>
        <w:tc>
          <w:tcPr>
            <w:tcW w:type="dxa" w:w="4320"/>
            <w:vAlign w:val="center"/>
          </w:tcPr>
          <w:p>
            <w:r>
              <w:t>Werkzeug's password hashing and verification functions perform salted password hashing and comparison in the Flask backend.</w:t>
            </w:r>
          </w:p>
        </w:tc>
      </w:tr>
    </w:tbl>
    <w:p>
      <w:r>
        <w:t>The main progress algorithm is deterministic. The same evidence produces the same result, while the evidence itself remains specific to the authenticated student.</w:t>
      </w:r>
    </w:p>
    <w:p>
      <w:pPr>
        <w:pStyle w:val="Heading1"/>
      </w:pPr>
      <w:r>
        <w:t>Data structures implemented</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Data structure</w:t>
            </w:r>
          </w:p>
        </w:tc>
        <w:tc>
          <w:tcPr>
            <w:tcW w:type="dxa" w:w="4320"/>
            <w:vAlign w:val="center"/>
          </w:tcPr>
          <w:p>
            <w:r>
              <w:rPr>
                <w:b/>
              </w:rPr>
              <w:t>Use in MyNUST</w:t>
            </w:r>
          </w:p>
        </w:tc>
      </w:tr>
      <w:tr>
        <w:tc>
          <w:tcPr>
            <w:tcW w:type="dxa" w:w="4320"/>
            <w:vAlign w:val="center"/>
          </w:tcPr>
          <w:p>
            <w:r>
              <w:t>SQLite relational table</w:t>
            </w:r>
          </w:p>
        </w:tc>
        <w:tc>
          <w:tcPr>
            <w:tcW w:type="dxa" w:w="4320"/>
            <w:vAlign w:val="center"/>
          </w:tcPr>
          <w:p>
            <w:r>
              <w:t>The users table stores id, name, password_hash and created_at with a unique case-insensitive name constraint.</w:t>
            </w:r>
          </w:p>
        </w:tc>
      </w:tr>
      <w:tr>
        <w:tc>
          <w:tcPr>
            <w:tcW w:type="dxa" w:w="4320"/>
            <w:vAlign w:val="center"/>
          </w:tcPr>
          <w:p>
            <w:r>
              <w:t>JavaScript objects/maps</w:t>
            </w:r>
          </w:p>
        </w:tc>
        <w:tc>
          <w:tcPr>
            <w:tcW w:type="dxa" w:w="4320"/>
            <w:vAlign w:val="center"/>
          </w:tcPr>
          <w:p>
            <w:r>
              <w:t>moduleDetails maps module codes to titles, descriptions and topics; per-user records map module codes to study evidence.</w:t>
            </w:r>
          </w:p>
        </w:tc>
      </w:tr>
      <w:tr>
        <w:tc>
          <w:tcPr>
            <w:tcW w:type="dxa" w:w="4320"/>
            <w:vAlign w:val="center"/>
          </w:tcPr>
          <w:p>
            <w:r>
              <w:t>Arrays</w:t>
            </w:r>
          </w:p>
        </w:tc>
        <w:tc>
          <w:tcPr>
            <w:tcW w:type="dxa" w:w="4320"/>
            <w:vAlign w:val="center"/>
          </w:tcPr>
          <w:p>
            <w:r>
              <w:t>Topic lists, completed topic indexes, module rows and selected checkboxes are processed as arrays.</w:t>
            </w:r>
          </w:p>
        </w:tc>
      </w:tr>
      <w:tr>
        <w:tc>
          <w:tcPr>
            <w:tcW w:type="dxa" w:w="4320"/>
            <w:vAlign w:val="center"/>
          </w:tcPr>
          <w:p>
            <w:r>
              <w:t>JSON objects</w:t>
            </w:r>
          </w:p>
        </w:tc>
        <w:tc>
          <w:tcPr>
            <w:tcW w:type="dxa" w:w="4320"/>
            <w:vAlign w:val="center"/>
          </w:tcPr>
          <w:p>
            <w:r>
              <w:t>Browser fallback records and HTTP request/response bodies use JSON structures.</w:t>
            </w:r>
          </w:p>
        </w:tc>
      </w:tr>
      <w:tr>
        <w:tc>
          <w:tcPr>
            <w:tcW w:type="dxa" w:w="4320"/>
            <w:vAlign w:val="center"/>
          </w:tcPr>
          <w:p>
            <w:r>
              <w:t>DOM tree and collections</w:t>
            </w:r>
          </w:p>
        </w:tc>
        <w:tc>
          <w:tcPr>
            <w:tcW w:type="dxa" w:w="4320"/>
            <w:vAlign w:val="center"/>
          </w:tcPr>
          <w:p>
            <w:r>
              <w:t>The browser DOM represents the interface; querySelectorAll returns collections used for filtering and event binding.</w:t>
            </w:r>
          </w:p>
        </w:tc>
      </w:tr>
      <w:tr>
        <w:tc>
          <w:tcPr>
            <w:tcW w:type="dxa" w:w="4320"/>
            <w:vAlign w:val="center"/>
          </w:tcPr>
          <w:p>
            <w:r>
              <w:t>Session dictionary</w:t>
            </w:r>
          </w:p>
        </w:tc>
        <w:tc>
          <w:tcPr>
            <w:tcW w:type="dxa" w:w="4320"/>
            <w:vAlign w:val="center"/>
          </w:tcPr>
          <w:p>
            <w:r>
              <w:t>Flask sessions hold the authenticated user id and user name in a signed server-side session cookie.</w:t>
            </w:r>
          </w:p>
        </w:tc>
      </w:tr>
    </w:tbl>
    <w:p>
      <w:pPr>
        <w:pStyle w:val="Heading1"/>
      </w:pPr>
      <w:r>
        <w:t>Security and ethics</w:t>
      </w:r>
    </w:p>
    <w:p>
      <w:r>
        <w:t>The Flask backend validates names and password length, hashes passwords instead of storing plain text, uses parameterized SQL queries, clears and sets authenticated sessions, and marks cookies HTTP-only. The GitHub Pages demonstration has a browser-local fallback because static hosting cannot execute Python. It should be described as a demonstration mode, not as a replacement for a production university authentication service.</w:t>
      </w:r>
    </w:p>
    <w:p>
      <w:pPr>
        <w:pStyle w:val="Heading1"/>
      </w:pPr>
      <w:r>
        <w:t>Limitations and future work</w:t>
      </w:r>
    </w:p>
    <w:p>
      <w:r>
        <w:t>The current prototype accepts academic evidence as input rather than receiving it from official assignment, quiz, attendance and examination systems. A production system would add lecturer and administrator roles, verified submissions, automatic quiz results, attendance integration, official marks, email verification, password reset, a managed database, backups and audit logs.</w:t>
      </w:r>
    </w:p>
    <w:p>
      <w:pPr>
        <w:pStyle w:val="Heading1"/>
      </w:pPr>
      <w:r>
        <w:t>Use of the 16 university modules</w:t>
      </w:r>
    </w:p>
    <w:p>
      <w:r>
        <w:t>All 16 modules informed the project, but they were not all used as direct coding dependencies. This distinction is important. Eight modules contribute directly to the implementation and eight contribute indirectly through mathematical, systems or professional foundations.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Code</w:t>
            </w:r>
          </w:p>
        </w:tc>
        <w:tc>
          <w:tcPr>
            <w:tcW w:type="dxa" w:w="2160"/>
            <w:vAlign w:val="center"/>
          </w:tcPr>
          <w:p>
            <w:r>
              <w:rPr>
                <w:b/>
              </w:rPr>
              <w:t>Module</w:t>
            </w:r>
          </w:p>
        </w:tc>
        <w:tc>
          <w:tcPr>
            <w:tcW w:type="dxa" w:w="2160"/>
            <w:vAlign w:val="center"/>
          </w:tcPr>
          <w:p>
            <w:r>
              <w:rPr>
                <w:b/>
              </w:rPr>
              <w:t>Use</w:t>
            </w:r>
          </w:p>
        </w:tc>
        <w:tc>
          <w:tcPr>
            <w:tcW w:type="dxa" w:w="2160"/>
            <w:vAlign w:val="center"/>
          </w:tcPr>
          <w:p>
            <w:r>
              <w:rPr>
                <w:b/>
              </w:rPr>
              <w:t>Contribution</w:t>
            </w:r>
          </w:p>
        </w:tc>
      </w:tr>
      <w:tr>
        <w:tc>
          <w:tcPr>
            <w:tcW w:type="dxa" w:w="2160"/>
            <w:vAlign w:val="center"/>
          </w:tcPr>
          <w:p>
            <w:r>
              <w:t>SPH1105</w:t>
            </w:r>
          </w:p>
        </w:tc>
        <w:tc>
          <w:tcPr>
            <w:tcW w:type="dxa" w:w="2160"/>
            <w:vAlign w:val="center"/>
          </w:tcPr>
          <w:p>
            <w:r>
              <w:t>Electricity and Magnetism</w:t>
            </w:r>
          </w:p>
        </w:tc>
        <w:tc>
          <w:tcPr>
            <w:tcW w:type="dxa" w:w="2160"/>
            <w:vAlign w:val="center"/>
          </w:tcPr>
          <w:p>
            <w:r>
              <w:t>Indirect</w:t>
            </w:r>
          </w:p>
        </w:tc>
        <w:tc>
          <w:tcPr>
            <w:tcW w:type="dxa" w:w="2160"/>
            <w:vAlign w:val="center"/>
          </w:tcPr>
          <w:p>
            <w:r>
              <w:t>Systems thinking and the physical technology context of computers and networks. It is not a core software dependency.</w:t>
            </w:r>
          </w:p>
        </w:tc>
      </w:tr>
      <w:tr>
        <w:tc>
          <w:tcPr>
            <w:tcW w:type="dxa" w:w="2160"/>
            <w:vAlign w:val="center"/>
          </w:tcPr>
          <w:p>
            <w:r>
              <w:t>SMA1101</w:t>
            </w:r>
          </w:p>
        </w:tc>
        <w:tc>
          <w:tcPr>
            <w:tcW w:type="dxa" w:w="2160"/>
            <w:vAlign w:val="center"/>
          </w:tcPr>
          <w:p>
            <w:r>
              <w:t>Calculus</w:t>
            </w:r>
          </w:p>
        </w:tc>
        <w:tc>
          <w:tcPr>
            <w:tcW w:type="dxa" w:w="2160"/>
            <w:vAlign w:val="center"/>
          </w:tcPr>
          <w:p>
            <w:r>
              <w:t>Indirect</w:t>
            </w:r>
          </w:p>
        </w:tc>
        <w:tc>
          <w:tcPr>
            <w:tcW w:type="dxa" w:w="2160"/>
            <w:vAlign w:val="center"/>
          </w:tcPr>
          <w:p>
            <w:r>
              <w:t>Mathematical reasoning used when thinking about continuous measures and progress percentages. No calculus routine is required by the application.</w:t>
            </w:r>
          </w:p>
        </w:tc>
      </w:tr>
      <w:tr>
        <w:tc>
          <w:tcPr>
            <w:tcW w:type="dxa" w:w="2160"/>
            <w:vAlign w:val="center"/>
          </w:tcPr>
          <w:p>
            <w:r>
              <w:t>SMA1102</w:t>
            </w:r>
          </w:p>
        </w:tc>
        <w:tc>
          <w:tcPr>
            <w:tcW w:type="dxa" w:w="2160"/>
            <w:vAlign w:val="center"/>
          </w:tcPr>
          <w:p>
            <w:r>
              <w:t>Linear Algebra</w:t>
            </w:r>
          </w:p>
        </w:tc>
        <w:tc>
          <w:tcPr>
            <w:tcW w:type="dxa" w:w="2160"/>
            <w:vAlign w:val="center"/>
          </w:tcPr>
          <w:p>
            <w:r>
              <w:t>Indirect</w:t>
            </w:r>
          </w:p>
        </w:tc>
        <w:tc>
          <w:tcPr>
            <w:tcW w:type="dxa" w:w="2160"/>
            <w:vAlign w:val="center"/>
          </w:tcPr>
          <w:p>
            <w:r>
              <w:t>Structured quantitative thinking and representation of related values. No matrix algorithm is part of the current application.</w:t>
            </w:r>
          </w:p>
        </w:tc>
      </w:tr>
      <w:tr>
        <w:tc>
          <w:tcPr>
            <w:tcW w:type="dxa" w:w="2160"/>
            <w:vAlign w:val="center"/>
          </w:tcPr>
          <w:p>
            <w:r>
              <w:t>SCS1101</w:t>
            </w:r>
          </w:p>
        </w:tc>
        <w:tc>
          <w:tcPr>
            <w:tcW w:type="dxa" w:w="2160"/>
            <w:vAlign w:val="center"/>
          </w:tcPr>
          <w:p>
            <w:r>
              <w:t>Introduction to Computer Science and Programming</w:t>
            </w:r>
          </w:p>
        </w:tc>
        <w:tc>
          <w:tcPr>
            <w:tcW w:type="dxa" w:w="2160"/>
            <w:vAlign w:val="center"/>
          </w:tcPr>
          <w:p>
            <w:r>
              <w:t>Direct</w:t>
            </w:r>
          </w:p>
        </w:tc>
        <w:tc>
          <w:tcPr>
            <w:tcW w:type="dxa" w:w="2160"/>
            <w:vAlign w:val="center"/>
          </w:tcPr>
          <w:p>
            <w:r>
              <w:t>HTML, CSS, JavaScript, variables, control flow, data structures, files, algorithms and database concepts.</w:t>
            </w:r>
          </w:p>
        </w:tc>
      </w:tr>
      <w:tr>
        <w:tc>
          <w:tcPr>
            <w:tcW w:type="dxa" w:w="2160"/>
            <w:vAlign w:val="center"/>
          </w:tcPr>
          <w:p>
            <w:r>
              <w:t>SCS1103</w:t>
            </w:r>
          </w:p>
        </w:tc>
        <w:tc>
          <w:tcPr>
            <w:tcW w:type="dxa" w:w="2160"/>
            <w:vAlign w:val="center"/>
          </w:tcPr>
          <w:p>
            <w:r>
              <w:t>Operating Systems</w:t>
            </w:r>
          </w:p>
        </w:tc>
        <w:tc>
          <w:tcPr>
            <w:tcW w:type="dxa" w:w="2160"/>
            <w:vAlign w:val="center"/>
          </w:tcPr>
          <w:p>
            <w:r>
              <w:t>Direct</w:t>
            </w:r>
          </w:p>
        </w:tc>
        <w:tc>
          <w:tcPr>
            <w:tcW w:type="dxa" w:w="2160"/>
            <w:vAlign w:val="center"/>
          </w:tcPr>
          <w:p>
            <w:r>
              <w:t>Client-server execution, processes, file paths, sessions, environment variables and secure separation of services.</w:t>
            </w:r>
          </w:p>
        </w:tc>
      </w:tr>
      <w:tr>
        <w:tc>
          <w:tcPr>
            <w:tcW w:type="dxa" w:w="2160"/>
            <w:vAlign w:val="center"/>
          </w:tcPr>
          <w:p>
            <w:r>
              <w:t>SCS1111</w:t>
            </w:r>
          </w:p>
        </w:tc>
        <w:tc>
          <w:tcPr>
            <w:tcW w:type="dxa" w:w="2160"/>
            <w:vAlign w:val="center"/>
          </w:tcPr>
          <w:p>
            <w:r>
              <w:t>Principles of Programming Languages</w:t>
            </w:r>
          </w:p>
        </w:tc>
        <w:tc>
          <w:tcPr>
            <w:tcW w:type="dxa" w:w="2160"/>
            <w:vAlign w:val="center"/>
          </w:tcPr>
          <w:p>
            <w:r>
              <w:t>Direct</w:t>
            </w:r>
          </w:p>
        </w:tc>
        <w:tc>
          <w:tcPr>
            <w:tcW w:type="dxa" w:w="2160"/>
            <w:vAlign w:val="center"/>
          </w:tcPr>
          <w:p>
            <w:r>
              <w:t>Procedural and event-driven JavaScript/Python, functions, abstraction, objects, callbacks and runtime behavior.</w:t>
            </w:r>
          </w:p>
        </w:tc>
      </w:tr>
      <w:tr>
        <w:tc>
          <w:tcPr>
            <w:tcW w:type="dxa" w:w="2160"/>
            <w:vAlign w:val="center"/>
          </w:tcPr>
          <w:p>
            <w:r>
              <w:t>SCS1112</w:t>
            </w:r>
          </w:p>
        </w:tc>
        <w:tc>
          <w:tcPr>
            <w:tcW w:type="dxa" w:w="2160"/>
            <w:vAlign w:val="center"/>
          </w:tcPr>
          <w:p>
            <w:r>
              <w:t>Fundamentals of Digital Electronics</w:t>
            </w:r>
          </w:p>
        </w:tc>
        <w:tc>
          <w:tcPr>
            <w:tcW w:type="dxa" w:w="2160"/>
            <w:vAlign w:val="center"/>
          </w:tcPr>
          <w:p>
            <w:r>
              <w:t>Indirect</w:t>
            </w:r>
          </w:p>
        </w:tc>
        <w:tc>
          <w:tcPr>
            <w:tcW w:type="dxa" w:w="2160"/>
            <w:vAlign w:val="center"/>
          </w:tcPr>
          <w:p>
            <w:r>
              <w:t>Binary thinking and state representation inform Boolean controls, checkboxes, flags and digital input validation.</w:t>
            </w:r>
          </w:p>
        </w:tc>
      </w:tr>
      <w:tr>
        <w:tc>
          <w:tcPr>
            <w:tcW w:type="dxa" w:w="2160"/>
            <w:vAlign w:val="center"/>
          </w:tcPr>
          <w:p>
            <w:r>
              <w:t>SCS1211</w:t>
            </w:r>
          </w:p>
        </w:tc>
        <w:tc>
          <w:tcPr>
            <w:tcW w:type="dxa" w:w="2160"/>
            <w:vAlign w:val="center"/>
          </w:tcPr>
          <w:p>
            <w:r>
              <w:t>Computer Architecture and Organization</w:t>
            </w:r>
          </w:p>
        </w:tc>
        <w:tc>
          <w:tcPr>
            <w:tcW w:type="dxa" w:w="2160"/>
            <w:vAlign w:val="center"/>
          </w:tcPr>
          <w:p>
            <w:r>
              <w:t>Indirect</w:t>
            </w:r>
          </w:p>
        </w:tc>
        <w:tc>
          <w:tcPr>
            <w:tcW w:type="dxa" w:w="2160"/>
            <w:vAlign w:val="center"/>
          </w:tcPr>
          <w:p>
            <w:r>
              <w:t>Client/server and storage decisions are explained using memory, processing, input/output and locality concepts.</w:t>
            </w:r>
          </w:p>
        </w:tc>
      </w:tr>
      <w:tr>
        <w:tc>
          <w:tcPr>
            <w:tcW w:type="dxa" w:w="2160"/>
            <w:vAlign w:val="center"/>
          </w:tcPr>
          <w:p>
            <w:r>
              <w:t>SCS1212</w:t>
            </w:r>
          </w:p>
        </w:tc>
        <w:tc>
          <w:tcPr>
            <w:tcW w:type="dxa" w:w="2160"/>
            <w:vAlign w:val="center"/>
          </w:tcPr>
          <w:p>
            <w:r>
              <w:t>Data Structures and Algorithms</w:t>
            </w:r>
          </w:p>
        </w:tc>
        <w:tc>
          <w:tcPr>
            <w:tcW w:type="dxa" w:w="2160"/>
            <w:vAlign w:val="center"/>
          </w:tcPr>
          <w:p>
            <w:r>
              <w:t>Direct</w:t>
            </w:r>
          </w:p>
        </w:tc>
        <w:tc>
          <w:tcPr>
            <w:tcW w:type="dxa" w:w="2160"/>
            <w:vAlign w:val="center"/>
          </w:tcPr>
          <w:p>
            <w:r>
              <w:t>Arrays, objects/maps, lists, linear search, filtering, aggregation, complexity and progress calculation.</w:t>
            </w:r>
          </w:p>
        </w:tc>
      </w:tr>
      <w:tr>
        <w:tc>
          <w:tcPr>
            <w:tcW w:type="dxa" w:w="2160"/>
            <w:vAlign w:val="center"/>
          </w:tcPr>
          <w:p>
            <w:r>
              <w:t>SCS1213</w:t>
            </w:r>
          </w:p>
        </w:tc>
        <w:tc>
          <w:tcPr>
            <w:tcW w:type="dxa" w:w="2160"/>
            <w:vAlign w:val="center"/>
          </w:tcPr>
          <w:p>
            <w:r>
              <w:t>Database Systems</w:t>
            </w:r>
          </w:p>
        </w:tc>
        <w:tc>
          <w:tcPr>
            <w:tcW w:type="dxa" w:w="2160"/>
            <w:vAlign w:val="center"/>
          </w:tcPr>
          <w:p>
            <w:r>
              <w:t>Direct</w:t>
            </w:r>
          </w:p>
        </w:tc>
        <w:tc>
          <w:tcPr>
            <w:tcW w:type="dxa" w:w="2160"/>
            <w:vAlign w:val="center"/>
          </w:tcPr>
          <w:p>
            <w:r>
              <w:t>SQLite users table, SQL queries, uniqueness constraints, CRUD operations and password-hash persistence.</w:t>
            </w:r>
          </w:p>
        </w:tc>
      </w:tr>
      <w:tr>
        <w:tc>
          <w:tcPr>
            <w:tcW w:type="dxa" w:w="2160"/>
            <w:vAlign w:val="center"/>
          </w:tcPr>
          <w:p>
            <w:r>
              <w:t>SCS1214</w:t>
            </w:r>
          </w:p>
        </w:tc>
        <w:tc>
          <w:tcPr>
            <w:tcW w:type="dxa" w:w="2160"/>
            <w:vAlign w:val="center"/>
          </w:tcPr>
          <w:p>
            <w:r>
              <w:t>Software Engineering</w:t>
            </w:r>
          </w:p>
        </w:tc>
        <w:tc>
          <w:tcPr>
            <w:tcW w:type="dxa" w:w="2160"/>
            <w:vAlign w:val="center"/>
          </w:tcPr>
          <w:p>
            <w:r>
              <w:t>Direct</w:t>
            </w:r>
          </w:p>
        </w:tc>
        <w:tc>
          <w:tcPr>
            <w:tcW w:type="dxa" w:w="2160"/>
            <w:vAlign w:val="center"/>
          </w:tcPr>
          <w:p>
            <w:r>
              <w:t>Requirements, modular design, testing, version control, documentation, deployment and maintenance.</w:t>
            </w:r>
          </w:p>
        </w:tc>
      </w:tr>
      <w:tr>
        <w:tc>
          <w:tcPr>
            <w:tcW w:type="dxa" w:w="2160"/>
            <w:vAlign w:val="center"/>
          </w:tcPr>
          <w:p>
            <w:r>
              <w:t>SCS1210</w:t>
            </w:r>
          </w:p>
        </w:tc>
        <w:tc>
          <w:tcPr>
            <w:tcW w:type="dxa" w:w="2160"/>
            <w:vAlign w:val="center"/>
          </w:tcPr>
          <w:p>
            <w:r>
              <w:t>Discrete Mathematics</w:t>
            </w:r>
          </w:p>
        </w:tc>
        <w:tc>
          <w:tcPr>
            <w:tcW w:type="dxa" w:w="2160"/>
            <w:vAlign w:val="center"/>
          </w:tcPr>
          <w:p>
            <w:r>
              <w:t>Direct</w:t>
            </w:r>
          </w:p>
        </w:tc>
        <w:tc>
          <w:tcPr>
            <w:tcW w:type="dxa" w:w="2160"/>
            <w:vAlign w:val="center"/>
          </w:tcPr>
          <w:p>
            <w:r>
              <w:t>Sets, predicates, logical validation, relations between users/modules/records and finite weighted calculations.</w:t>
            </w:r>
          </w:p>
        </w:tc>
      </w:tr>
      <w:tr>
        <w:tc>
          <w:tcPr>
            <w:tcW w:type="dxa" w:w="2160"/>
            <w:vAlign w:val="center"/>
          </w:tcPr>
          <w:p>
            <w:r>
              <w:t>SCS1215</w:t>
            </w:r>
          </w:p>
        </w:tc>
        <w:tc>
          <w:tcPr>
            <w:tcW w:type="dxa" w:w="2160"/>
            <w:vAlign w:val="center"/>
          </w:tcPr>
          <w:p>
            <w:r>
              <w:t>Ethics and Professionalism</w:t>
            </w:r>
          </w:p>
        </w:tc>
        <w:tc>
          <w:tcPr>
            <w:tcW w:type="dxa" w:w="2160"/>
            <w:vAlign w:val="center"/>
          </w:tcPr>
          <w:p>
            <w:r>
              <w:t>Direct</w:t>
            </w:r>
          </w:p>
        </w:tc>
        <w:tc>
          <w:tcPr>
            <w:tcW w:type="dxa" w:w="2160"/>
            <w:vAlign w:val="center"/>
          </w:tcPr>
          <w:p>
            <w:r>
              <w:t>Privacy, password hashing, HTTP-only sessions, responsible data handling and limitations of self-reported evidence.</w:t>
            </w:r>
          </w:p>
        </w:tc>
      </w:tr>
      <w:tr>
        <w:tc>
          <w:tcPr>
            <w:tcW w:type="dxa" w:w="2160"/>
            <w:vAlign w:val="center"/>
          </w:tcPr>
          <w:p>
            <w:r>
              <w:t>SORS2107</w:t>
            </w:r>
          </w:p>
        </w:tc>
        <w:tc>
          <w:tcPr>
            <w:tcW w:type="dxa" w:w="2160"/>
            <w:vAlign w:val="center"/>
          </w:tcPr>
          <w:p>
            <w:r>
              <w:t>Applied Statistics for Computing</w:t>
            </w:r>
          </w:p>
        </w:tc>
        <w:tc>
          <w:tcPr>
            <w:tcW w:type="dxa" w:w="2160"/>
            <w:vAlign w:val="center"/>
          </w:tcPr>
          <w:p>
            <w:r>
              <w:t>Direct</w:t>
            </w:r>
          </w:p>
        </w:tc>
        <w:tc>
          <w:tcPr>
            <w:tcW w:type="dxa" w:w="2160"/>
            <w:vAlign w:val="center"/>
          </w:tcPr>
          <w:p>
            <w:r>
              <w:t>Quiz averages, attendance percentages, marks and the weighted academic progress calculation.</w:t>
            </w:r>
          </w:p>
        </w:tc>
      </w:tr>
      <w:tr>
        <w:tc>
          <w:tcPr>
            <w:tcW w:type="dxa" w:w="2160"/>
            <w:vAlign w:val="center"/>
          </w:tcPr>
          <w:p>
            <w:r>
              <w:t>SCS2104</w:t>
            </w:r>
          </w:p>
        </w:tc>
        <w:tc>
          <w:tcPr>
            <w:tcW w:type="dxa" w:w="2160"/>
            <w:vAlign w:val="center"/>
          </w:tcPr>
          <w:p>
            <w:r>
              <w:t>Structured System Analysis and Design</w:t>
            </w:r>
          </w:p>
        </w:tc>
        <w:tc>
          <w:tcPr>
            <w:tcW w:type="dxa" w:w="2160"/>
            <w:vAlign w:val="center"/>
          </w:tcPr>
          <w:p>
            <w:r>
              <w:t>Direct</w:t>
            </w:r>
          </w:p>
        </w:tc>
        <w:tc>
          <w:tcPr>
            <w:tcW w:type="dxa" w:w="2160"/>
            <w:vAlign w:val="center"/>
          </w:tcPr>
          <w:p>
            <w:r>
              <w:t>Requirements analysis, actor identification, data flows, module decomposition, documentation and workflow design.</w:t>
            </w:r>
          </w:p>
        </w:tc>
      </w:tr>
      <w:tr>
        <w:tc>
          <w:tcPr>
            <w:tcW w:type="dxa" w:w="2160"/>
            <w:vAlign w:val="center"/>
          </w:tcPr>
          <w:p>
            <w:r>
              <w:t>SCS2114</w:t>
            </w:r>
          </w:p>
        </w:tc>
        <w:tc>
          <w:tcPr>
            <w:tcW w:type="dxa" w:w="2160"/>
            <w:vAlign w:val="center"/>
          </w:tcPr>
          <w:p>
            <w:r>
              <w:t>Web Development</w:t>
            </w:r>
          </w:p>
        </w:tc>
        <w:tc>
          <w:tcPr>
            <w:tcW w:type="dxa" w:w="2160"/>
            <w:vAlign w:val="center"/>
          </w:tcPr>
          <w:p>
            <w:r>
              <w:t>Direct</w:t>
            </w:r>
          </w:p>
        </w:tc>
        <w:tc>
          <w:tcPr>
            <w:tcW w:type="dxa" w:w="2160"/>
            <w:vAlign w:val="center"/>
          </w:tcPr>
          <w:p>
            <w:r>
              <w:t>Responsive HTML/CSS/JavaScript interface, Flask routes, forms, JSON requests, static deployment and database connection.</w:t>
            </w:r>
          </w:p>
        </w:tc>
      </w:tr>
    </w:tbl>
    <w:p>
      <w:pPr>
        <w:pStyle w:val="Heading1"/>
      </w:pPr>
      <w:r>
        <w:t>5. Methodology</w:t>
      </w:r>
    </w:p>
    <w:p>
      <w:r>
        <w:t>The project follows a small software development life cycle: requirements gathering, information architecture, interface design, implementation, focused testing, deployment and documentation. The design was iterated from a dashboard concept into a study workspace after identifying that students needed actionable module views rather than static cards.</w:t>
      </w:r>
    </w:p>
    <w:p>
      <w:pPr>
        <w:pStyle w:val="Heading1"/>
      </w:pPr>
      <w:r>
        <w:t>6. Expected benefits</w:t>
      </w:r>
    </w:p>
    <w:p>
      <w:r>
        <w:t>Students receive a clearer academic starting point, lecturers can demonstrate a structured student-support concept, and the project provides a practical example of frontend, backend, database and professional computing principles working together.</w:t>
      </w:r>
    </w:p>
    <w:p>
      <w:pPr>
        <w:pStyle w:val="Heading1"/>
      </w:pPr>
      <w:r>
        <w:t>7. Conclusion</w:t>
      </w:r>
    </w:p>
    <w:p>
      <w:r>
        <w:t>MyNUST is a feasible SCS2114 project that turns a common student information problem into a usable web application. Its design is intentionally extensible: verified academic data and lecturer workflows can be added without replacing the core module and progress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