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MyNUST Complete Project Documentation and Lecture Notes</w:t>
      </w:r>
    </w:p>
    <w:p>
      <w:pPr>
        <w:jc w:val="center"/>
      </w:pPr>
      <w:r>
        <w:t>SCS2114 Web Development | NUST Zimbabwe | Level II | Mthokozisi Dlamini</w:t>
      </w:r>
    </w:p>
    <w:p>
      <w:pPr>
        <w:pStyle w:val="Heading1"/>
      </w:pPr>
      <w:r>
        <w:t>1. Executive summary</w:t>
      </w:r>
    </w:p>
    <w:p>
      <w:r>
        <w:t>MyNUST is a responsive student academic workplace designed for a NUST Zimbabwe Computer Science student at Level II. It keeps the three current modules visible: SORS2107 Applied Statistics for Computing, SCS2104 Structured System Analysis and Design, and SCS2114 Web Development. Students can open each module, read definitions and formulas, complete a topic checklist, enter academic evidence, write private notes and see a calculated progress result. The remaining thirteen modules can be added to an individual library when needed.</w:t>
      </w:r>
    </w:p>
    <w:p>
      <w:r>
        <w:t>The project has two execution modes. The Flask mode uses server-side authentication, SQLite, password hashing, sessions and study-record routes. The GitHub Pages mode is a static demonstration that uses browser-local storage because GitHub Pages cannot run Python. This distinction is documented so the prototype does not claim that static hosting provides production authentication.</w:t>
      </w:r>
    </w:p>
    <w:p>
      <w:pPr>
        <w:pStyle w:val="Heading1"/>
      </w:pPr>
      <w:r>
        <w:t>2. User problem and proposed solution</w:t>
      </w:r>
    </w:p>
    <w:p>
      <w:r>
        <w:t>The user problem is fragmentation. Students must often move between institutional websites, portal pages, library resources, class documents and personal notes. MyNUST brings the personal academic workflow into one place: identify the student, focus on current modules, read useful subject information, record evidence and decide what to study next.</w:t>
      </w:r>
    </w:p>
    <w:p>
      <w:r>
        <w:t>The solution is intentionally compact. The default screen does not display every module at once. Current subjects are prioritised, while the Add a module control provides scalable access to the other subjects. This is a progressive-disclosure design: the interface starts simple and reveals the wider degree archive when the student requests it.</w:t>
      </w:r>
    </w:p>
    <w:p>
      <w:pPr>
        <w:pStyle w:val="Heading1"/>
      </w:pPr>
      <w:r>
        <w:t>3. Academic alignment at Level II</w:t>
      </w:r>
    </w:p>
    <w:tbl>
      <w:tblPr>
        <w:tblStyle w:val="TableGrid"/>
        <w:tblW w:type="auto" w:w="0"/>
        <w:jc w:val="center"/>
        <w:tblLook w:firstColumn="1" w:firstRow="1" w:lastColumn="0" w:lastRow="0" w:noHBand="0" w:noVBand="1" w:val="04A0"/>
      </w:tblPr>
      <w:tblGrid>
        <w:gridCol w:w="4320"/>
        <w:gridCol w:w="4320"/>
      </w:tblGrid>
      <w:tr>
        <w:tc>
          <w:tcPr>
            <w:tcW w:type="dxa" w:w="4320"/>
          </w:tcPr>
          <w:p>
            <w:r>
              <w:t>Current module</w:t>
            </w:r>
          </w:p>
        </w:tc>
        <w:tc>
          <w:tcPr>
            <w:tcW w:type="dxa" w:w="4320"/>
          </w:tcPr>
          <w:p>
            <w:r>
              <w:t>How it shapes the project</w:t>
            </w:r>
          </w:p>
        </w:tc>
      </w:tr>
      <w:tr>
        <w:tc>
          <w:tcPr>
            <w:tcW w:type="dxa" w:w="4320"/>
          </w:tcPr>
          <w:p>
            <w:r>
              <w:t>SORS2107</w:t>
            </w:r>
          </w:p>
        </w:tc>
        <w:tc>
          <w:tcPr>
            <w:tcW w:type="dxa" w:w="4320"/>
          </w:tcPr>
          <w:p>
            <w:r>
              <w:t>Supplies the evidence model: percentages, averages, measurable performance and the weighted progress calculation.</w:t>
            </w:r>
          </w:p>
        </w:tc>
      </w:tr>
      <w:tr>
        <w:tc>
          <w:tcPr>
            <w:tcW w:type="dxa" w:w="4320"/>
          </w:tcPr>
          <w:p>
            <w:r>
              <w:t>SCS2104</w:t>
            </w:r>
          </w:p>
        </w:tc>
        <w:tc>
          <w:tcPr>
            <w:tcW w:type="dxa" w:w="4320"/>
          </w:tcPr>
          <w:p>
            <w:r>
              <w:t>Supplies requirements analysis, system boundaries, actors, data flows, documentation and decomposition of the student workflow.</w:t>
            </w:r>
          </w:p>
        </w:tc>
      </w:tr>
      <w:tr>
        <w:tc>
          <w:tcPr>
            <w:tcW w:type="dxa" w:w="4320"/>
          </w:tcPr>
          <w:p>
            <w:r>
              <w:t>SCS2114</w:t>
            </w:r>
          </w:p>
        </w:tc>
        <w:tc>
          <w:tcPr>
            <w:tcW w:type="dxa" w:w="4320"/>
          </w:tcPr>
          <w:p>
            <w:r>
              <w:t>Supplies responsive HTML/CSS/JavaScript, forms, dynamic interaction, server routes, database connections and deployment.</w:t>
            </w:r>
          </w:p>
        </w:tc>
      </w:tr>
    </w:tbl>
    <w:p>
      <w:pPr>
        <w:pStyle w:val="Heading1"/>
      </w:pPr>
      <w:r>
        <w:t>4. How all 16 NUST modules contributed</w:t>
      </w:r>
    </w:p>
    <w:tbl>
      <w:tblPr>
        <w:tblStyle w:val="TableGrid"/>
        <w:tblW w:type="auto" w:w="0"/>
        <w:jc w:val="center"/>
        <w:tblLook w:firstColumn="1" w:firstRow="1" w:lastColumn="0" w:lastRow="0" w:noHBand="0" w:noVBand="1" w:val="04A0"/>
      </w:tblPr>
      <w:tblGrid>
        <w:gridCol w:w="4320"/>
        <w:gridCol w:w="4320"/>
      </w:tblGrid>
      <w:tr>
        <w:tc>
          <w:tcPr>
            <w:tcW w:type="dxa" w:w="4320"/>
          </w:tcPr>
          <w:p>
            <w:r>
              <w:t>Module</w:t>
            </w:r>
          </w:p>
        </w:tc>
        <w:tc>
          <w:tcPr>
            <w:tcW w:type="dxa" w:w="4320"/>
          </w:tcPr>
          <w:p>
            <w:r>
              <w:t>Contribution</w:t>
            </w:r>
          </w:p>
        </w:tc>
      </w:tr>
      <w:tr>
        <w:tc>
          <w:tcPr>
            <w:tcW w:type="dxa" w:w="4320"/>
          </w:tcPr>
          <w:p>
            <w:r>
              <w:t>SPH1105 Electricity and Magnetism</w:t>
            </w:r>
          </w:p>
        </w:tc>
        <w:tc>
          <w:tcPr>
            <w:tcW w:type="dxa" w:w="4320"/>
          </w:tcPr>
          <w:p>
            <w:r>
              <w:t>Indirect foundation: systems thinking, measurement and the physical context of computing and networks.</w:t>
            </w:r>
          </w:p>
        </w:tc>
      </w:tr>
      <w:tr>
        <w:tc>
          <w:tcPr>
            <w:tcW w:type="dxa" w:w="4320"/>
          </w:tcPr>
          <w:p>
            <w:r>
              <w:t>SMA1101 Calculus</w:t>
            </w:r>
          </w:p>
        </w:tc>
        <w:tc>
          <w:tcPr>
            <w:tcW w:type="dxa" w:w="4320"/>
          </w:tcPr>
          <w:p>
            <w:r>
              <w:t>Indirect foundation: quantitative reasoning and continuous measures; the site does not require a calculus algorithm.</w:t>
            </w:r>
          </w:p>
        </w:tc>
      </w:tr>
      <w:tr>
        <w:tc>
          <w:tcPr>
            <w:tcW w:type="dxa" w:w="4320"/>
          </w:tcPr>
          <w:p>
            <w:r>
              <w:t>SMA1102 Linear Algebra</w:t>
            </w:r>
          </w:p>
        </w:tc>
        <w:tc>
          <w:tcPr>
            <w:tcW w:type="dxa" w:w="4320"/>
          </w:tcPr>
          <w:p>
            <w:r>
              <w:t>Indirect foundation: structured representation of related values and quantitative reasoning.</w:t>
            </w:r>
          </w:p>
        </w:tc>
      </w:tr>
      <w:tr>
        <w:tc>
          <w:tcPr>
            <w:tcW w:type="dxa" w:w="4320"/>
          </w:tcPr>
          <w:p>
            <w:r>
              <w:t>SCS1101 Introduction to Computer Science and Programming</w:t>
            </w:r>
          </w:p>
        </w:tc>
        <w:tc>
          <w:tcPr>
            <w:tcW w:type="dxa" w:w="4320"/>
          </w:tcPr>
          <w:p>
            <w:r>
              <w:t>Direct foundation: variables, control flow, programming, data structures, algorithms, databases and networks.</w:t>
            </w:r>
          </w:p>
        </w:tc>
      </w:tr>
      <w:tr>
        <w:tc>
          <w:tcPr>
            <w:tcW w:type="dxa" w:w="4320"/>
          </w:tcPr>
          <w:p>
            <w:r>
              <w:t>SCS1103 Operating Systems</w:t>
            </w:r>
          </w:p>
        </w:tc>
        <w:tc>
          <w:tcPr>
            <w:tcW w:type="dxa" w:w="4320"/>
          </w:tcPr>
          <w:p>
            <w:r>
              <w:t>Direct foundation: processes, server execution, file paths, sessions, environment variables and resource separation.</w:t>
            </w:r>
          </w:p>
        </w:tc>
      </w:tr>
      <w:tr>
        <w:tc>
          <w:tcPr>
            <w:tcW w:type="dxa" w:w="4320"/>
          </w:tcPr>
          <w:p>
            <w:r>
              <w:t>SCS1111 Principles of Programming Languages</w:t>
            </w:r>
          </w:p>
        </w:tc>
        <w:tc>
          <w:tcPr>
            <w:tcW w:type="dxa" w:w="4320"/>
          </w:tcPr>
          <w:p>
            <w:r>
              <w:t>Direct foundation: functions, abstraction, objects, event-driven programming and runtime behaviour in Python and JavaScript.</w:t>
            </w:r>
          </w:p>
        </w:tc>
      </w:tr>
      <w:tr>
        <w:tc>
          <w:tcPr>
            <w:tcW w:type="dxa" w:w="4320"/>
          </w:tcPr>
          <w:p>
            <w:r>
              <w:t>SCS1112 Fundamentals of Digital Electronics</w:t>
            </w:r>
          </w:p>
        </w:tc>
        <w:tc>
          <w:tcPr>
            <w:tcW w:type="dxa" w:w="4320"/>
          </w:tcPr>
          <w:p>
            <w:r>
              <w:t>Indirect foundation: Boolean state, flags, checkboxes and digital input representation.</w:t>
            </w:r>
          </w:p>
        </w:tc>
      </w:tr>
      <w:tr>
        <w:tc>
          <w:tcPr>
            <w:tcW w:type="dxa" w:w="4320"/>
          </w:tcPr>
          <w:p>
            <w:r>
              <w:t>SCS1211 Computer Architecture and Organization</w:t>
            </w:r>
          </w:p>
        </w:tc>
        <w:tc>
          <w:tcPr>
            <w:tcW w:type="dxa" w:w="4320"/>
          </w:tcPr>
          <w:p>
            <w:r>
              <w:t>Indirect foundation: client/server, input/output, memory and storage decisions.</w:t>
            </w:r>
          </w:p>
        </w:tc>
      </w:tr>
      <w:tr>
        <w:tc>
          <w:tcPr>
            <w:tcW w:type="dxa" w:w="4320"/>
          </w:tcPr>
          <w:p>
            <w:r>
              <w:t>SCS1212 Data Structures and Algorithms</w:t>
            </w:r>
          </w:p>
        </w:tc>
        <w:tc>
          <w:tcPr>
            <w:tcW w:type="dxa" w:w="4320"/>
          </w:tcPr>
          <w:p>
            <w:r>
              <w:t>Direct foundation: arrays, objects/maps, filtering, lookup, aggregation and complexity.</w:t>
            </w:r>
          </w:p>
        </w:tc>
      </w:tr>
      <w:tr>
        <w:tc>
          <w:tcPr>
            <w:tcW w:type="dxa" w:w="4320"/>
          </w:tcPr>
          <w:p>
            <w:r>
              <w:t>SCS1213 Database Systems</w:t>
            </w:r>
          </w:p>
        </w:tc>
        <w:tc>
          <w:tcPr>
            <w:tcW w:type="dxa" w:w="4320"/>
          </w:tcPr>
          <w:p>
            <w:r>
              <w:t>Direct foundation: SQLite schema, SQL queries, uniqueness constraints, upsert records and persistence.</w:t>
            </w:r>
          </w:p>
        </w:tc>
      </w:tr>
      <w:tr>
        <w:tc>
          <w:tcPr>
            <w:tcW w:type="dxa" w:w="4320"/>
          </w:tcPr>
          <w:p>
            <w:r>
              <w:t>SCS1214 Software Engineering</w:t>
            </w:r>
          </w:p>
        </w:tc>
        <w:tc>
          <w:tcPr>
            <w:tcW w:type="dxa" w:w="4320"/>
          </w:tcPr>
          <w:p>
            <w:r>
              <w:t>Direct foundation: requirements, modular design, testing, documentation, version control, deployment and maintenance.</w:t>
            </w:r>
          </w:p>
        </w:tc>
      </w:tr>
      <w:tr>
        <w:tc>
          <w:tcPr>
            <w:tcW w:type="dxa" w:w="4320"/>
          </w:tcPr>
          <w:p>
            <w:r>
              <w:t>SCS1210 Discrete Mathematics</w:t>
            </w:r>
          </w:p>
        </w:tc>
        <w:tc>
          <w:tcPr>
            <w:tcW w:type="dxa" w:w="4320"/>
          </w:tcPr>
          <w:p>
            <w:r>
              <w:t>Direct foundation: sets, predicates, relations, finite collections, validation and weighted finite calculations.</w:t>
            </w:r>
          </w:p>
        </w:tc>
      </w:tr>
      <w:tr>
        <w:tc>
          <w:tcPr>
            <w:tcW w:type="dxa" w:w="4320"/>
          </w:tcPr>
          <w:p>
            <w:r>
              <w:t>SCS1215 Ethics and Professionalism</w:t>
            </w:r>
          </w:p>
        </w:tc>
        <w:tc>
          <w:tcPr>
            <w:tcW w:type="dxa" w:w="4320"/>
          </w:tcPr>
          <w:p>
            <w:r>
              <w:t>Direct foundation: privacy, password handling, limitations, responsible data use and professional communication.</w:t>
            </w:r>
          </w:p>
        </w:tc>
      </w:tr>
      <w:tr>
        <w:tc>
          <w:tcPr>
            <w:tcW w:type="dxa" w:w="4320"/>
          </w:tcPr>
          <w:p>
            <w:r>
              <w:t>SORS2107 Applied Statistics for Computing</w:t>
            </w:r>
          </w:p>
        </w:tc>
        <w:tc>
          <w:tcPr>
            <w:tcW w:type="dxa" w:w="4320"/>
          </w:tcPr>
          <w:p>
            <w:r>
              <w:t>Direct current module: marks, attendance, quiz averages, assignment counts and weighted progress.</w:t>
            </w:r>
          </w:p>
        </w:tc>
      </w:tr>
      <w:tr>
        <w:tc>
          <w:tcPr>
            <w:tcW w:type="dxa" w:w="4320"/>
          </w:tcPr>
          <w:p>
            <w:r>
              <w:t>SCS2104 Structured System Analysis and Design</w:t>
            </w:r>
          </w:p>
        </w:tc>
        <w:tc>
          <w:tcPr>
            <w:tcW w:type="dxa" w:w="4320"/>
          </w:tcPr>
          <w:p>
            <w:r>
              <w:t>Direct current module: requirements, workflows, system actors, module decomposition and documentation.</w:t>
            </w:r>
          </w:p>
        </w:tc>
      </w:tr>
      <w:tr>
        <w:tc>
          <w:tcPr>
            <w:tcW w:type="dxa" w:w="4320"/>
          </w:tcPr>
          <w:p>
            <w:r>
              <w:t>SCS2114 Web Development</w:t>
            </w:r>
          </w:p>
        </w:tc>
        <w:tc>
          <w:tcPr>
            <w:tcW w:type="dxa" w:w="4320"/>
          </w:tcPr>
          <w:p>
            <w:r>
              <w:t>Direct current module: the complete web implementation, interaction model, frontend/backend connection and deployment.</w:t>
            </w:r>
          </w:p>
        </w:tc>
      </w:tr>
    </w:tbl>
    <w:p>
      <w:pPr>
        <w:pStyle w:val="Heading1"/>
      </w:pPr>
      <w:r>
        <w:t>5. System architecture</w:t>
      </w:r>
    </w:p>
    <w:p>
      <w:r>
        <w:t>The frontend is a single responsive HTML document with CSS and JavaScript. HTML provides semantic sections, forms, module cards, library rows and accessible labels. CSS provides the NUST-inspired visual system, responsive grid changes, mobile navigation, scrollable module dialogs and touch-friendly input controls. JavaScript manages authentication mode, module selection, search, dynamic module insertion, checklists, notes, evidence inputs, progress calculation and local storage.</w:t>
      </w:r>
    </w:p>
    <w:p>
      <w:r>
        <w:t>The Flask backend serves index.html and static assets, exposes authentication routes, creates the SQLite schema, verifies password hashes, creates sessions and stores authenticated study records. The backend is intentionally small so the ownership of each behaviour is easy to explain in an SCS2114 assessment.</w:t>
      </w:r>
    </w:p>
    <w:tbl>
      <w:tblPr>
        <w:tblStyle w:val="TableGrid"/>
        <w:tblW w:type="auto" w:w="0"/>
        <w:jc w:val="center"/>
        <w:tblLook w:firstColumn="1" w:firstRow="1" w:lastColumn="0" w:lastRow="0" w:noHBand="0" w:noVBand="1" w:val="04A0"/>
      </w:tblPr>
      <w:tblGrid>
        <w:gridCol w:w="4320"/>
        <w:gridCol w:w="4320"/>
      </w:tblGrid>
      <w:tr>
        <w:tc>
          <w:tcPr>
            <w:tcW w:type="dxa" w:w="4320"/>
          </w:tcPr>
          <w:p>
            <w:r>
              <w:t>Layer</w:t>
            </w:r>
          </w:p>
        </w:tc>
        <w:tc>
          <w:tcPr>
            <w:tcW w:type="dxa" w:w="4320"/>
          </w:tcPr>
          <w:p>
            <w:r>
              <w:t>Implementation</w:t>
            </w:r>
          </w:p>
        </w:tc>
      </w:tr>
      <w:tr>
        <w:tc>
          <w:tcPr>
            <w:tcW w:type="dxa" w:w="4320"/>
          </w:tcPr>
          <w:p>
            <w:r>
              <w:t>Presentation</w:t>
            </w:r>
          </w:p>
        </w:tc>
        <w:tc>
          <w:tcPr>
            <w:tcW w:type="dxa" w:w="4320"/>
          </w:tcPr>
          <w:p>
            <w:r>
              <w:t>HTML, CSS, responsive grid, NUST crest and official NUST campus image.</w:t>
            </w:r>
          </w:p>
        </w:tc>
      </w:tr>
      <w:tr>
        <w:tc>
          <w:tcPr>
            <w:tcW w:type="dxa" w:w="4320"/>
          </w:tcPr>
          <w:p>
            <w:r>
              <w:t>Client behaviour</w:t>
            </w:r>
          </w:p>
        </w:tc>
        <w:tc>
          <w:tcPr>
            <w:tcW w:type="dxa" w:w="4320"/>
          </w:tcPr>
          <w:p>
            <w:r>
              <w:t>JavaScript event handlers, module modal, search, module picker, local storage and calculated progress.</w:t>
            </w:r>
          </w:p>
        </w:tc>
      </w:tr>
      <w:tr>
        <w:tc>
          <w:tcPr>
            <w:tcW w:type="dxa" w:w="4320"/>
          </w:tcPr>
          <w:p>
            <w:r>
              <w:t>Application server</w:t>
            </w:r>
          </w:p>
        </w:tc>
        <w:tc>
          <w:tcPr>
            <w:tcW w:type="dxa" w:w="4320"/>
          </w:tcPr>
          <w:p>
            <w:r>
              <w:t>Flask routes for registration, login, session, module catalog and study records.</w:t>
            </w:r>
          </w:p>
        </w:tc>
      </w:tr>
      <w:tr>
        <w:tc>
          <w:tcPr>
            <w:tcW w:type="dxa" w:w="4320"/>
          </w:tcPr>
          <w:p>
            <w:r>
              <w:t>Persistence</w:t>
            </w:r>
          </w:p>
        </w:tc>
        <w:tc>
          <w:tcPr>
            <w:tcW w:type="dxa" w:w="4320"/>
          </w:tcPr>
          <w:p>
            <w:r>
              <w:t>SQLite users and study_records tables; Werkzeug password hashes; HTTP-only session cookies.</w:t>
            </w:r>
          </w:p>
        </w:tc>
      </w:tr>
      <w:tr>
        <w:tc>
          <w:tcPr>
            <w:tcW w:type="dxa" w:w="4320"/>
          </w:tcPr>
          <w:p>
            <w:r>
              <w:t>Deployment</w:t>
            </w:r>
          </w:p>
        </w:tc>
        <w:tc>
          <w:tcPr>
            <w:tcW w:type="dxa" w:w="4320"/>
          </w:tcPr>
          <w:p>
            <w:r>
              <w:t>GitHub Pages for static demonstration; Flask-capable hosting required for server authentication.</w:t>
            </w:r>
          </w:p>
        </w:tc>
      </w:tr>
    </w:tbl>
    <w:p>
      <w:pPr>
        <w:pStyle w:val="Heading1"/>
      </w:pPr>
      <w:r>
        <w:t>6. Progress model</w:t>
      </w:r>
    </w:p>
    <w:p>
      <w:r>
        <w:t>Progress is not a hard-coded value and is not shared between students. Each student has a record for each module. The calculated result is: progress = topic completion x 0.25 + assignment percentage x 0.20 + quiz average x 0.20 + attendance x 0.15 + exam mark x 0.20.</w:t>
      </w:r>
    </w:p>
    <w:p>
      <w:r>
        <w:t>Topic completion is calculated as completed topics divided by total topics multiplied by 100. Assignment percentage is submitted assignments divided by 10 multiplied by 100. Quiz, attendance and exam inputs are constrained to 0-100. The final result is rounded to the nearest whole percentage. The same deterministic formula is applied to each student, but the inputs belong to that student.</w:t>
      </w:r>
    </w:p>
    <w:p>
      <w:pPr>
        <w:pStyle w:val="Heading1"/>
      </w:pPr>
      <w:r>
        <w:t>7. Algorithms</w:t>
      </w:r>
    </w:p>
    <w:tbl>
      <w:tblPr>
        <w:tblStyle w:val="TableGrid"/>
        <w:tblW w:type="auto" w:w="0"/>
        <w:jc w:val="center"/>
        <w:tblLook w:firstColumn="1" w:firstRow="1" w:lastColumn="0" w:lastRow="0" w:noHBand="0" w:noVBand="1" w:val="04A0"/>
      </w:tblPr>
      <w:tblGrid>
        <w:gridCol w:w="4320"/>
        <w:gridCol w:w="4320"/>
      </w:tblGrid>
      <w:tr>
        <w:tc>
          <w:tcPr>
            <w:tcW w:type="dxa" w:w="4320"/>
          </w:tcPr>
          <w:p>
            <w:r>
              <w:t>Algorithm</w:t>
            </w:r>
          </w:p>
        </w:tc>
        <w:tc>
          <w:tcPr>
            <w:tcW w:type="dxa" w:w="4320"/>
          </w:tcPr>
          <w:p>
            <w:r>
              <w:t>Explanation and complexity</w:t>
            </w:r>
          </w:p>
        </w:tc>
      </w:tr>
      <w:tr>
        <w:tc>
          <w:tcPr>
            <w:tcW w:type="dxa" w:w="4320"/>
          </w:tcPr>
          <w:p>
            <w:r>
              <w:t>Weighted aggregation</w:t>
            </w:r>
          </w:p>
        </w:tc>
        <w:tc>
          <w:tcPr>
            <w:tcW w:type="dxa" w:w="4320"/>
          </w:tcPr>
          <w:p>
            <w:r>
              <w:t>Combines five validated evidence values using fixed weights. O(1).</w:t>
            </w:r>
          </w:p>
        </w:tc>
      </w:tr>
      <w:tr>
        <w:tc>
          <w:tcPr>
            <w:tcW w:type="dxa" w:w="4320"/>
          </w:tcPr>
          <w:p>
            <w:r>
              <w:t>Topic completion</w:t>
            </w:r>
          </w:p>
        </w:tc>
        <w:tc>
          <w:tcPr>
            <w:tcW w:type="dxa" w:w="4320"/>
          </w:tcPr>
          <w:p>
            <w:r>
              <w:t>Counts selected topic indexes and divides by the module topic count. O(t), where t is topics.</w:t>
            </w:r>
          </w:p>
        </w:tc>
      </w:tr>
      <w:tr>
        <w:tc>
          <w:tcPr>
            <w:tcW w:type="dxa" w:w="4320"/>
          </w:tcPr>
          <w:p>
            <w:r>
              <w:t>Linear search</w:t>
            </w:r>
          </w:p>
        </w:tc>
        <w:tc>
          <w:tcPr>
            <w:tcW w:type="dxa" w:w="4320"/>
          </w:tcPr>
          <w:p>
            <w:r>
              <w:t>Normalises the search text and checks each module search string. O(n) for n visible modules.</w:t>
            </w:r>
          </w:p>
        </w:tc>
      </w:tr>
      <w:tr>
        <w:tc>
          <w:tcPr>
            <w:tcW w:type="dxa" w:w="4320"/>
          </w:tcPr>
          <w:p>
            <w:r>
              <w:t>Key lookup</w:t>
            </w:r>
          </w:p>
        </w:tc>
        <w:tc>
          <w:tcPr>
            <w:tcW w:type="dxa" w:w="4320"/>
          </w:tcPr>
          <w:p>
            <w:r>
              <w:t>Uses module codes as object keys for fast access to metadata and records. Average O(1).</w:t>
            </w:r>
          </w:p>
        </w:tc>
      </w:tr>
      <w:tr>
        <w:tc>
          <w:tcPr>
            <w:tcW w:type="dxa" w:w="4320"/>
          </w:tcPr>
          <w:p>
            <w:r>
              <w:t>Input validation</w:t>
            </w:r>
          </w:p>
        </w:tc>
        <w:tc>
          <w:tcPr>
            <w:tcW w:type="dxa" w:w="4320"/>
          </w:tcPr>
          <w:p>
            <w:r>
              <w:t>Checks required strings, password length and numeric bounds before storage.</w:t>
            </w:r>
          </w:p>
        </w:tc>
      </w:tr>
      <w:tr>
        <w:tc>
          <w:tcPr>
            <w:tcW w:type="dxa" w:w="4320"/>
          </w:tcPr>
          <w:p>
            <w:r>
              <w:t>Password verification</w:t>
            </w:r>
          </w:p>
        </w:tc>
        <w:tc>
          <w:tcPr>
            <w:tcW w:type="dxa" w:w="4320"/>
          </w:tcPr>
          <w:p>
            <w:r>
              <w:t>Werkzeug compares a submitted password with a salted stored hash.</w:t>
            </w:r>
          </w:p>
        </w:tc>
      </w:tr>
    </w:tbl>
    <w:p>
      <w:pPr>
        <w:pStyle w:val="Heading1"/>
      </w:pPr>
      <w:r>
        <w:t>8. Data structures</w:t>
      </w:r>
    </w:p>
    <w:tbl>
      <w:tblPr>
        <w:tblStyle w:val="TableGrid"/>
        <w:tblW w:type="auto" w:w="0"/>
        <w:jc w:val="center"/>
        <w:tblLook w:firstColumn="1" w:firstRow="1" w:lastColumn="0" w:lastRow="0" w:noHBand="0" w:noVBand="1" w:val="04A0"/>
      </w:tblPr>
      <w:tblGrid>
        <w:gridCol w:w="4320"/>
        <w:gridCol w:w="4320"/>
      </w:tblGrid>
      <w:tr>
        <w:tc>
          <w:tcPr>
            <w:tcW w:type="dxa" w:w="4320"/>
          </w:tcPr>
          <w:p>
            <w:r>
              <w:t>Structure</w:t>
            </w:r>
          </w:p>
        </w:tc>
        <w:tc>
          <w:tcPr>
            <w:tcW w:type="dxa" w:w="4320"/>
          </w:tcPr>
          <w:p>
            <w:r>
              <w:t>Use</w:t>
            </w:r>
          </w:p>
        </w:tc>
      </w:tr>
      <w:tr>
        <w:tc>
          <w:tcPr>
            <w:tcW w:type="dxa" w:w="4320"/>
          </w:tcPr>
          <w:p>
            <w:r>
              <w:t>SQLite relational tables</w:t>
            </w:r>
          </w:p>
        </w:tc>
        <w:tc>
          <w:tcPr>
            <w:tcW w:type="dxa" w:w="4320"/>
          </w:tcPr>
          <w:p>
            <w:r>
              <w:t>Users and per-user study_records with a unique user/module pair.</w:t>
            </w:r>
          </w:p>
        </w:tc>
      </w:tr>
      <w:tr>
        <w:tc>
          <w:tcPr>
            <w:tcW w:type="dxa" w:w="4320"/>
          </w:tcPr>
          <w:p>
            <w:r>
              <w:t>JavaScript objects/maps</w:t>
            </w:r>
          </w:p>
        </w:tc>
        <w:tc>
          <w:tcPr>
            <w:tcW w:type="dxa" w:w="4320"/>
          </w:tcPr>
          <w:p>
            <w:r>
              <w:t>Module metadata and each student’s evidence record.</w:t>
            </w:r>
          </w:p>
        </w:tc>
      </w:tr>
      <w:tr>
        <w:tc>
          <w:tcPr>
            <w:tcW w:type="dxa" w:w="4320"/>
          </w:tcPr>
          <w:p>
            <w:r>
              <w:t>Arrays</w:t>
            </w:r>
          </w:p>
        </w:tc>
        <w:tc>
          <w:tcPr>
            <w:tcW w:type="dxa" w:w="4320"/>
          </w:tcPr>
          <w:p>
            <w:r>
              <w:t>Topic lists, completed topic indexes and selected modules.</w:t>
            </w:r>
          </w:p>
        </w:tc>
      </w:tr>
      <w:tr>
        <w:tc>
          <w:tcPr>
            <w:tcW w:type="dxa" w:w="4320"/>
          </w:tcPr>
          <w:p>
            <w:r>
              <w:t>JSON</w:t>
            </w:r>
          </w:p>
        </w:tc>
        <w:tc>
          <w:tcPr>
            <w:tcW w:type="dxa" w:w="4320"/>
          </w:tcPr>
          <w:p>
            <w:r>
              <w:t>HTTP request bodies, browser storage records and API responses.</w:t>
            </w:r>
          </w:p>
        </w:tc>
      </w:tr>
      <w:tr>
        <w:tc>
          <w:tcPr>
            <w:tcW w:type="dxa" w:w="4320"/>
          </w:tcPr>
          <w:p>
            <w:r>
              <w:t>DOM tree and collections</w:t>
            </w:r>
          </w:p>
        </w:tc>
        <w:tc>
          <w:tcPr>
            <w:tcW w:type="dxa" w:w="4320"/>
          </w:tcPr>
          <w:p>
            <w:r>
              <w:t>Module cards, form controls and topic checkboxes in the browser.</w:t>
            </w:r>
          </w:p>
        </w:tc>
      </w:tr>
      <w:tr>
        <w:tc>
          <w:tcPr>
            <w:tcW w:type="dxa" w:w="4320"/>
          </w:tcPr>
          <w:p>
            <w:r>
              <w:t>Flask session dictionary</w:t>
            </w:r>
          </w:p>
        </w:tc>
        <w:tc>
          <w:tcPr>
            <w:tcW w:type="dxa" w:w="4320"/>
          </w:tcPr>
          <w:p>
            <w:r>
              <w:t>Authenticated user id and user name for the current session.</w:t>
            </w:r>
          </w:p>
        </w:tc>
      </w:tr>
    </w:tbl>
    <w:p>
      <w:pPr>
        <w:pStyle w:val="Heading1"/>
      </w:pPr>
      <w:r>
        <w:t>9. Security, privacy and ethics</w:t>
      </w:r>
    </w:p>
    <w:p>
      <w:r>
        <w:t>The backend does not store plain-text passwords. It uses Werkzeug password hashing, parameterised SQL statements and HTTP-only cookies. Input values are validated and bounded. The project also states its limitations: self-entered attendance and marks are not official academic results. A production version would require university identity integration, lecturer roles, verified records, password reset, HTTPS, backups, audit logs and a managed database.</w:t>
      </w:r>
    </w:p>
    <w:p>
      <w:pPr>
        <w:pStyle w:val="Heading1"/>
      </w:pPr>
      <w:r>
        <w:t>10. Testing and evidence</w:t>
      </w:r>
    </w:p>
    <w:p>
      <w:pPr>
        <w:pStyle w:val="ListBullet"/>
      </w:pPr>
      <w:r>
        <w:t>Registration and login were tested with valid and invalid credentials.</w:t>
      </w:r>
    </w:p>
    <w:p>
      <w:pPr>
        <w:pStyle w:val="ListBullet"/>
      </w:pPr>
      <w:r>
        <w:t>Wrong passwords return an error and do not open the workspace.</w:t>
      </w:r>
    </w:p>
    <w:p>
      <w:pPr>
        <w:pStyle w:val="ListBullet"/>
      </w:pPr>
      <w:r>
        <w:t>Module dialogs open for current and added subjects.</w:t>
      </w:r>
    </w:p>
    <w:p>
      <w:pPr>
        <w:pStyle w:val="ListBullet"/>
      </w:pPr>
      <w:r>
        <w:t>Definitions, formulas, checklists, notes and academic evidence persist per student.</w:t>
      </w:r>
    </w:p>
    <w:p>
      <w:pPr>
        <w:pStyle w:val="ListBullet"/>
      </w:pPr>
      <w:r>
        <w:t>A sample calculation of 66% was verified from topics, assignments, quiz, attendance and exam values.</w:t>
      </w:r>
    </w:p>
    <w:p>
      <w:pPr>
        <w:pStyle w:val="ListBullet"/>
      </w:pPr>
      <w:r>
        <w:t>The module picker adds a remaining subject without changing another student’s library.</w:t>
      </w:r>
    </w:p>
    <w:p>
      <w:pPr>
        <w:pStyle w:val="ListBullet"/>
      </w:pPr>
      <w:r>
        <w:t>Mobile testing confirmed the dialog is scrollable and the page has no horizontal overflow at a 390px viewport.</w:t>
      </w:r>
    </w:p>
    <w:p>
      <w:pPr>
        <w:pStyle w:val="ListBullet"/>
      </w:pPr>
      <w:r>
        <w:t>Python syntax, Flask routes and the Word documents were validated.</w:t>
      </w:r>
    </w:p>
    <w:p>
      <w:pPr>
        <w:pStyle w:val="Heading1"/>
      </w:pPr>
      <w:r>
        <w:t>11. Limitations and future development</w:t>
      </w:r>
    </w:p>
    <w:p>
      <w:r>
        <w:t>The GitHub Pages link is a static demonstration. It cannot run Flask or SQLite, so browser-local storage is used there. The local/Flask version provides the real backend routes. Future versions should use a production database, lecturer dashboards, verified marks, assignment upload, quiz integration, attendance integration, notifications, password reset and official NUST service integration.</w:t>
      </w:r>
    </w:p>
    <w:p>
      <w:pPr>
        <w:pStyle w:val="Heading1"/>
      </w:pPr>
      <w:r>
        <w:t>12. Presentation conclusion</w:t>
      </w:r>
    </w:p>
    <w:p>
      <w:r>
        <w:t>MyNUST demonstrates how a student problem can be transformed into a structured web system. It combines requirements analysis, responsive interface design, programming, algorithms, data structures, databases, security, statistics and professional ethics. The project is aligned with the three current Level II modules while showing how the wider 16-module foundation contributes to the design and implementation.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