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and Evaluation of an Evidence-Grounded Agentic AI Framework for Root-Cause Analysis in Legacy Database Systems</w:t>
      </w:r>
    </w:p>
    <w:p>
      <w:pPr>
        <w:pStyle w:val="Subtitle"/>
        <w:jc w:val="center"/>
      </w:pPr>
      <w:r>
        <w:t>Verified Research Draft v0.2</w:t>
      </w:r>
    </w:p>
    <w:p>
      <w:pPr>
        <w:jc w:val="center"/>
      </w:pPr>
      <w:r>
        <w:t>Author: Mukesh Dabi</w:t>
      </w:r>
    </w:p>
    <w:p>
      <w:pPr>
        <w:jc w:val="center"/>
      </w:pPr>
      <w:r>
        <w:t>Affiliation: [Institution or independent-research affiliation]</w:t>
      </w:r>
    </w:p>
    <w:p>
      <w:pPr>
        <w:jc w:val="center"/>
      </w:pPr>
      <w:r>
        <w:t>Corresponding email: [Email]</w:t>
      </w:r>
    </w:p>
    <w:p>
      <w:pPr>
        <w:jc w:val="center"/>
      </w:pPr>
      <w:r>
        <w:t>Document date: 19 July 2026</w:t>
      </w:r>
    </w:p>
    <w:p>
      <w:pPr>
        <w:jc w:val="center"/>
      </w:pPr>
      <w:r>
        <w:t>Status: Internal draft — not ready for submission</w:t>
      </w:r>
    </w:p>
    <w:p/>
    <w:p>
      <w:pPr>
        <w:pStyle w:val="Heading2"/>
        <w:jc w:val="center"/>
      </w:pPr>
      <w:r>
        <w:t>Reproducibility anchor</w:t>
      </w:r>
    </w:p>
    <w:p>
      <w:pPr>
        <w:jc w:val="center"/>
      </w:pPr>
      <w:r>
        <w:t>Frozen commit: d5815fd509a13cb9dd3eec28c859c79f205d3c80</w:t>
      </w:r>
    </w:p>
    <w:p>
      <w:pPr>
        <w:jc w:val="center"/>
      </w:pPr>
      <w:r>
        <w:t>Release tag: rc-v1.0-final</w:t>
      </w:r>
    </w:p>
    <w:p>
      <w:pPr>
        <w:jc w:val="center"/>
      </w:pPr>
      <w:r>
        <w:t>Manifest SHA-256: 45CAC02D759FAC6B67C5B738A26B5BD23E4C3294EB3E4CC10000D4FC029B3F45</w:t>
      </w:r>
    </w:p>
    <w:p>
      <w:pPr>
        <w:jc w:val="center"/>
      </w:pPr>
      <w:r>
        <w:t>Run: benchmark-125-d5815fd-20260718T155134Z</w:t>
      </w:r>
    </w:p>
    <w:p>
      <w:r>
        <w:br w:type="page"/>
      </w:r>
    </w:p>
    <w:p>
      <w:pPr>
        <w:pStyle w:val="Heading1"/>
      </w:pPr>
      <w:r>
        <w:t>Abstract</w:t>
      </w:r>
    </w:p>
    <w:p>
      <w:r>
        <w:t>Operational support for legacy relational systems requires schema discovery, safe diagnostic querying, correlation of records, and defensible separation of symptoms from causes. This paper presents an implemented evidence-grounded agentic framework that stages intent analysis, entity extraction, metadata discovery, object and relationship ranking, read-only SQL planning and validation, evidence collection, an evidence gate, structured reasoning, and report composition. The frozen evaluation contains 125 reproducible scenarios across five domains, with five SQL lifecycle scripts per scenario (625 scripts). All 125 scenarios started and reached a terminal state; cleanup passed for 125/125. Strict end-to-end success was 46/125 = 36.8% (95% Wilson CI 28.9%–45.5%). Conditional application accuracy was 48/51 = 94.12% (95% Wilson CI 84.1%–98.0%) among usable answers eligible for deterministic validation. These denominators measure different properties. Fifty-five of 125 runs were classified as non-timeout provider failures recorded only as HTTPError, and 19 lacked sufficient evidence. Because HTTP status was not retained, rate limiting is plausible but not established. The results support the feasibility of evidence-grounded database investigation when the reasoning path completes, but they do not establish production readiness, superiority to baselines, or generalization to live enterprise databases.</w:t>
      </w:r>
    </w:p>
    <w:p>
      <w:r>
        <w:t>Keywords: agentic AI; legacy databases; root-cause analysis; Text-to-SQL; evidence grounding; SQL safety; AI evaluation; provenance</w:t>
      </w:r>
    </w:p>
    <w:p>
      <w:pPr>
        <w:pStyle w:val="Heading1"/>
      </w:pPr>
      <w:r>
        <w:t>Table of Contents</w:t>
      </w:r>
    </w:p>
    <w:p>
      <w:r>
        <w:fldChar w:fldCharType="begin"/>
        <w:instrText xml:space="preserve">TOC \o "1-3" \h \z \u</w:instrText>
        <w:fldChar w:fldCharType="separate"/>
        <w:fldChar w:fldCharType="end"/>
      </w:r>
    </w:p>
    <w:p>
      <w:pPr>
        <w:pStyle w:val="Heading1"/>
      </w:pPr>
      <w:r>
        <w:t>1. Introduction</w:t>
      </w:r>
    </w:p>
    <w:p>
      <w:r>
        <w:t>Legacy applications often encode business behavior across schemas, stored procedures, status tables, queues, and operational conventions. A fluent answer is inadequate when it cannot be traced to executed read-only queries and observed records. The research problem is therefore to produce useful root-cause explanations over unfamiliar databases while enforcing action safety, preserving provenance, and measuring both answer quality and operational reliability.</w:t>
      </w:r>
    </w:p>
    <w:p>
      <w:r>
        <w:t>This work contributes an implemented staged architecture; deterministic SQL and evidence controls; a 125-scenario synthetic, cross-domain benchmark; and an evaluation protocol that distinguishes conditional application accuracy from strict end-to-end reliability. It does not claim algorithmic novelty over all database agents, production safety, or superiority to alternative systems because no baseline or human study was executed.</w:t>
      </w:r>
    </w:p>
    <w:p>
      <w:pPr>
        <w:pStyle w:val="Heading2"/>
      </w:pPr>
      <w:r>
        <w:t>1.1 Research questions and hypotheses</w:t>
      </w:r>
    </w:p>
    <w:p>
      <w:pPr>
        <w:pStyle w:val="ListBullet"/>
      </w:pPr>
      <w:r>
        <w:t>RQ1: What conditional root-cause accuracy is achieved among usable, eligible answers?</w:t>
      </w:r>
    </w:p>
    <w:p>
      <w:pPr>
        <w:pStyle w:val="ListBullet"/>
      </w:pPr>
      <w:r>
        <w:t>RQ2: What strict success rate is achieved when all requested scenarios and failure modes remain in the denominator?</w:t>
      </w:r>
    </w:p>
    <w:p>
      <w:pPr>
        <w:pStyle w:val="ListBullet"/>
      </w:pPr>
      <w:r>
        <w:t>RQ3: How do outcomes vary by domain and difficulty?</w:t>
      </w:r>
    </w:p>
    <w:p>
      <w:pPr>
        <w:pStyle w:val="ListBullet"/>
      </w:pPr>
      <w:r>
        <w:t>RQ4: Which evidence, provider, application, and judge failures limit reliability?</w:t>
      </w:r>
    </w:p>
    <w:p>
      <w:pPr>
        <w:pStyle w:val="ListBullet"/>
      </w:pPr>
      <w:r>
        <w:t>RQ5: Which claims can be verified from persisted evidence and deterministic checks?</w:t>
      </w:r>
    </w:p>
    <w:p>
      <w:r>
        <w:t>The draft treats the expected gap between conditional accuracy and strict reliability as a descriptive hypothesis. Significance tests against a pre-registered baseline are not reported because no baseline threshold or comparator experiment was frozen before analysis.</w:t>
      </w:r>
    </w:p>
    <w:p>
      <w:pPr>
        <w:pStyle w:val="Heading1"/>
      </w:pPr>
      <w:r>
        <w:t>2. Related Work</w:t>
      </w:r>
    </w:p>
    <w:p>
      <w:r>
        <w:t>Spider formalized cross-domain Text-to-SQL generalization over unseen schemas [1]. Spider 2.0 extends the problem toward enterprise workflows [2]. ReAct demonstrated interleaving reasoning and external action [3]. These strands motivate tool-using database assistants but do not by themselves guarantee query safety or evidential support. LLM-as-a-judge studies also warn that model judgments can diverge from human judgments and exhibit prompt and leniency effects [4]. Accordingly, the present evaluation places deterministic verification before secondary semantic judging and identifies human validation as missing work.</w:t>
      </w:r>
    </w:p>
    <w:p>
      <w:pPr>
        <w:pStyle w:val="Heading1"/>
      </w:pPr>
      <w:r>
        <w:t>3. System Architecture</w:t>
      </w:r>
    </w:p>
    <w:p>
      <w:r>
        <w:t>The implementation uses deterministic orchestration around optional LLM reasoning. Figure 1 maps repository components to the deployed investigation path. The model does not receive a database connection; it receives a masked evidence package and its output is retained only when linked to evidence.</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943600" cy="3343275"/>
                    </a:xfrm>
                    <a:prstGeom prst="rect"/>
                  </pic:spPr>
                </pic:pic>
              </a:graphicData>
            </a:graphic>
          </wp:inline>
        </w:drawing>
      </w:r>
    </w:p>
    <w:p>
      <w:pPr>
        <w:pStyle w:val="Caption"/>
        <w:jc w:val="center"/>
      </w:pPr>
      <w:r>
        <w:rPr>
          <w:b/>
        </w:rPr>
        <w:t>Figure 1. Overall system architecture and trust boundaries.</w:t>
      </w:r>
    </w:p>
    <w:p>
      <w:pPr>
        <w:jc w:val="center"/>
      </w:pPr>
      <w:r>
        <w:rPr>
          <w:i/>
          <w:sz w:val="16"/>
        </w:rPr>
        <w:t>Source: Created from the verified system implementation and frozen benchmark artifacts.</w:t>
      </w:r>
    </w:p>
    <w:p>
      <w:pPr>
        <w:pStyle w:val="Caption"/>
      </w:pPr>
      <w:r>
        <w:rPr>
          <w:b/>
        </w:rPr>
        <w:t>Table 1. Verified system components and responsibilities</w:t>
      </w:r>
    </w:p>
    <w:tbl>
      <w:tblPr>
        <w:tblW w:type="auto" w:w="0"/>
        <w:jc w:val="center"/>
        <w:tblLayout w:type="fixed"/>
        <w:tblLook w:firstColumn="1" w:firstRow="1" w:lastColumn="0" w:lastRow="0" w:noHBand="0" w:noVBand="1" w:val="04A0"/>
      </w:tblPr>
      <w:tblGrid>
        <w:gridCol w:w="3120"/>
        <w:gridCol w:w="3120"/>
        <w:gridCol w:w="3120"/>
      </w:tblGrid>
      <w:tr>
        <w:tc>
          <w:tcPr>
            <w:tcW w:type="dxa" w:w="1800"/>
            <w:vAlign w:val="center"/>
            <w:shd w:fill="17324D"/>
          </w:tcPr>
          <w:p>
            <w:pPr>
              <w:jc w:val="center"/>
            </w:pPr>
            <w:r/>
            <w:r>
              <w:rPr>
                <w:rFonts w:ascii="Aptos" w:hAnsi="Aptos"/>
                <w:b/>
                <w:color w:val="FFFFFF"/>
                <w:sz w:val="16"/>
              </w:rPr>
              <w:t>Component</w:t>
            </w:r>
          </w:p>
        </w:tc>
        <w:tc>
          <w:tcPr>
            <w:tcW w:type="dxa" w:w="5112"/>
            <w:vAlign w:val="center"/>
            <w:shd w:fill="17324D"/>
          </w:tcPr>
          <w:p>
            <w:pPr>
              <w:jc w:val="center"/>
            </w:pPr>
            <w:r/>
            <w:r>
              <w:rPr>
                <w:rFonts w:ascii="Aptos" w:hAnsi="Aptos"/>
                <w:b/>
                <w:color w:val="FFFFFF"/>
                <w:sz w:val="16"/>
              </w:rPr>
              <w:t>Verified responsibility</w:t>
            </w:r>
          </w:p>
        </w:tc>
        <w:tc>
          <w:tcPr>
            <w:tcW w:type="dxa" w:w="2448"/>
            <w:vAlign w:val="center"/>
            <w:shd w:fill="17324D"/>
          </w:tcPr>
          <w:p>
            <w:pPr>
              <w:jc w:val="center"/>
            </w:pPr>
            <w:r/>
            <w:r>
              <w:rPr>
                <w:rFonts w:ascii="Aptos" w:hAnsi="Aptos"/>
                <w:b/>
                <w:color w:val="FFFFFF"/>
                <w:sz w:val="16"/>
              </w:rPr>
              <w:t>Evidence source</w:t>
            </w:r>
          </w:p>
        </w:tc>
      </w:tr>
      <w:tr>
        <w:tc>
          <w:tcPr>
            <w:tcW w:type="dxa" w:w="1800"/>
            <w:vAlign w:val="center"/>
            <w:shd w:fill="FFFFFF"/>
          </w:tcPr>
          <w:p>
            <w:r/>
            <w:r>
              <w:rPr>
                <w:rFonts w:ascii="Aptos" w:hAnsi="Aptos"/>
                <w:b w:val="0"/>
                <w:color w:val="17202A"/>
                <w:sz w:val="16"/>
              </w:rPr>
              <w:t>Intent agent</w:t>
            </w:r>
          </w:p>
        </w:tc>
        <w:tc>
          <w:tcPr>
            <w:tcW w:type="dxa" w:w="5112"/>
            <w:vAlign w:val="center"/>
            <w:shd w:fill="FFFFFF"/>
          </w:tcPr>
          <w:p>
            <w:r/>
            <w:r>
              <w:rPr>
                <w:rFonts w:ascii="Aptos" w:hAnsi="Aptos"/>
                <w:b w:val="0"/>
                <w:color w:val="17202A"/>
                <w:sz w:val="16"/>
              </w:rPr>
              <w:t>Classifies request intent before discovery and planning</w:t>
            </w:r>
          </w:p>
        </w:tc>
        <w:tc>
          <w:tcPr>
            <w:tcW w:type="dxa" w:w="2448"/>
            <w:vAlign w:val="center"/>
            <w:shd w:fill="FFFFFF"/>
          </w:tcPr>
          <w:p>
            <w:pPr>
              <w:jc w:val="center"/>
            </w:pPr>
            <w:r/>
            <w:r>
              <w:rPr>
                <w:rFonts w:ascii="Aptos" w:hAnsi="Aptos"/>
                <w:b w:val="0"/>
                <w:color w:val="17202A"/>
                <w:sz w:val="16"/>
              </w:rPr>
              <w:t>agents/intent_agent.py</w:t>
            </w:r>
          </w:p>
        </w:tc>
      </w:tr>
      <w:tr>
        <w:tc>
          <w:tcPr>
            <w:tcW w:type="dxa" w:w="1800"/>
            <w:vAlign w:val="center"/>
            <w:shd w:fill="F4F7F9"/>
          </w:tcPr>
          <w:p>
            <w:r/>
            <w:r>
              <w:rPr>
                <w:rFonts w:ascii="Aptos" w:hAnsi="Aptos"/>
                <w:b w:val="0"/>
                <w:color w:val="17202A"/>
                <w:sz w:val="16"/>
              </w:rPr>
              <w:t>Entity extraction/resolution</w:t>
            </w:r>
          </w:p>
        </w:tc>
        <w:tc>
          <w:tcPr>
            <w:tcW w:type="dxa" w:w="5112"/>
            <w:vAlign w:val="center"/>
            <w:shd w:fill="F4F7F9"/>
          </w:tcPr>
          <w:p>
            <w:r/>
            <w:r>
              <w:rPr>
                <w:rFonts w:ascii="Aptos" w:hAnsi="Aptos"/>
                <w:b w:val="0"/>
                <w:color w:val="17202A"/>
                <w:sz w:val="16"/>
              </w:rPr>
              <w:t>Preserves identifiers and links canonical entities to evidence</w:t>
            </w:r>
          </w:p>
        </w:tc>
        <w:tc>
          <w:tcPr>
            <w:tcW w:type="dxa" w:w="2448"/>
            <w:vAlign w:val="center"/>
            <w:shd w:fill="F4F7F9"/>
          </w:tcPr>
          <w:p>
            <w:r/>
            <w:r>
              <w:rPr>
                <w:rFonts w:ascii="Aptos" w:hAnsi="Aptos"/>
                <w:b w:val="0"/>
                <w:color w:val="17202A"/>
                <w:sz w:val="16"/>
              </w:rPr>
              <w:t>entity_extraction_agent.py; entity_resolution_service.py</w:t>
            </w:r>
          </w:p>
        </w:tc>
      </w:tr>
      <w:tr>
        <w:tc>
          <w:tcPr>
            <w:tcW w:type="dxa" w:w="1800"/>
            <w:vAlign w:val="center"/>
            <w:shd w:fill="FFFFFF"/>
          </w:tcPr>
          <w:p>
            <w:r/>
            <w:r>
              <w:rPr>
                <w:rFonts w:ascii="Aptos" w:hAnsi="Aptos"/>
                <w:b w:val="0"/>
                <w:color w:val="17202A"/>
                <w:sz w:val="16"/>
              </w:rPr>
              <w:t>Metadata discovery</w:t>
            </w:r>
          </w:p>
        </w:tc>
        <w:tc>
          <w:tcPr>
            <w:tcW w:type="dxa" w:w="5112"/>
            <w:vAlign w:val="center"/>
            <w:shd w:fill="FFFFFF"/>
          </w:tcPr>
          <w:p>
            <w:r/>
            <w:r>
              <w:rPr>
                <w:rFonts w:ascii="Aptos" w:hAnsi="Aptos"/>
                <w:b w:val="0"/>
                <w:color w:val="17202A"/>
                <w:sz w:val="16"/>
              </w:rPr>
              <w:t>Extracts and caches tables, views, columns, indexes, keys and procedures</w:t>
            </w:r>
          </w:p>
        </w:tc>
        <w:tc>
          <w:tcPr>
            <w:tcW w:type="dxa" w:w="2448"/>
            <w:vAlign w:val="center"/>
            <w:shd w:fill="FFFFFF"/>
          </w:tcPr>
          <w:p>
            <w:r/>
            <w:r>
              <w:rPr>
                <w:rFonts w:ascii="Aptos" w:hAnsi="Aptos"/>
                <w:b w:val="0"/>
                <w:color w:val="17202A"/>
                <w:sz w:val="16"/>
              </w:rPr>
              <w:t>db/connector.py; metadata_search_service.py</w:t>
            </w:r>
          </w:p>
        </w:tc>
      </w:tr>
      <w:tr>
        <w:tc>
          <w:tcPr>
            <w:tcW w:type="dxa" w:w="1800"/>
            <w:vAlign w:val="center"/>
            <w:shd w:fill="F4F7F9"/>
          </w:tcPr>
          <w:p>
            <w:r/>
            <w:r>
              <w:rPr>
                <w:rFonts w:ascii="Aptos" w:hAnsi="Aptos"/>
                <w:b w:val="0"/>
                <w:color w:val="17202A"/>
                <w:sz w:val="16"/>
              </w:rPr>
              <w:t>Object/relationship ranking</w:t>
            </w:r>
          </w:p>
        </w:tc>
        <w:tc>
          <w:tcPr>
            <w:tcW w:type="dxa" w:w="5112"/>
            <w:vAlign w:val="center"/>
            <w:shd w:fill="F4F7F9"/>
          </w:tcPr>
          <w:p>
            <w:r/>
            <w:r>
              <w:rPr>
                <w:rFonts w:ascii="Aptos" w:hAnsi="Aptos"/>
                <w:b w:val="0"/>
                <w:color w:val="17202A"/>
                <w:sz w:val="16"/>
              </w:rPr>
              <w:t>Ranks objects using lexical, index, foreign-key, and intent signals</w:t>
            </w:r>
          </w:p>
        </w:tc>
        <w:tc>
          <w:tcPr>
            <w:tcW w:type="dxa" w:w="2448"/>
            <w:vAlign w:val="center"/>
            <w:shd w:fill="F4F7F9"/>
          </w:tcPr>
          <w:p>
            <w:r/>
            <w:r>
              <w:rPr>
                <w:rFonts w:ascii="Aptos" w:hAnsi="Aptos"/>
                <w:b w:val="0"/>
                <w:color w:val="17202A"/>
                <w:sz w:val="16"/>
              </w:rPr>
              <w:t>object_ranking_agent.py; relationship_analysis_agent.py</w:t>
            </w:r>
          </w:p>
        </w:tc>
      </w:tr>
      <w:tr>
        <w:tc>
          <w:tcPr>
            <w:tcW w:type="dxa" w:w="1800"/>
            <w:vAlign w:val="center"/>
            <w:shd w:fill="FFFFFF"/>
          </w:tcPr>
          <w:p>
            <w:r/>
            <w:r>
              <w:rPr>
                <w:rFonts w:ascii="Aptos" w:hAnsi="Aptos"/>
                <w:b w:val="0"/>
                <w:color w:val="17202A"/>
                <w:sz w:val="16"/>
              </w:rPr>
              <w:t>SQL planning/validation</w:t>
            </w:r>
          </w:p>
        </w:tc>
        <w:tc>
          <w:tcPr>
            <w:tcW w:type="dxa" w:w="5112"/>
            <w:vAlign w:val="center"/>
            <w:shd w:fill="FFFFFF"/>
          </w:tcPr>
          <w:p>
            <w:r/>
            <w:r>
              <w:rPr>
                <w:rFonts w:ascii="Aptos" w:hAnsi="Aptos"/>
                <w:b w:val="0"/>
                <w:color w:val="17202A"/>
                <w:sz w:val="16"/>
              </w:rPr>
              <w:t>Plans diagnostic queries and enforces a read-only statement allowlist</w:t>
            </w:r>
          </w:p>
        </w:tc>
        <w:tc>
          <w:tcPr>
            <w:tcW w:type="dxa" w:w="2448"/>
            <w:vAlign w:val="center"/>
            <w:shd w:fill="FFFFFF"/>
          </w:tcPr>
          <w:p>
            <w:r/>
            <w:r>
              <w:rPr>
                <w:rFonts w:ascii="Aptos" w:hAnsi="Aptos"/>
                <w:b w:val="0"/>
                <w:color w:val="17202A"/>
                <w:sz w:val="16"/>
              </w:rPr>
              <w:t>safe_sql_planner.py; sql_validator.py</w:t>
            </w:r>
          </w:p>
        </w:tc>
      </w:tr>
      <w:tr>
        <w:tc>
          <w:tcPr>
            <w:tcW w:type="dxa" w:w="1800"/>
            <w:vAlign w:val="center"/>
            <w:shd w:fill="F4F7F9"/>
          </w:tcPr>
          <w:p>
            <w:r/>
            <w:r>
              <w:rPr>
                <w:rFonts w:ascii="Aptos" w:hAnsi="Aptos"/>
                <w:b w:val="0"/>
                <w:color w:val="17202A"/>
                <w:sz w:val="16"/>
              </w:rPr>
              <w:t>Evidence gate</w:t>
            </w:r>
          </w:p>
        </w:tc>
        <w:tc>
          <w:tcPr>
            <w:tcW w:type="dxa" w:w="5112"/>
            <w:vAlign w:val="center"/>
            <w:shd w:fill="F4F7F9"/>
          </w:tcPr>
          <w:p>
            <w:r/>
            <w:r>
              <w:rPr>
                <w:rFonts w:ascii="Aptos" w:hAnsi="Aptos"/>
                <w:b w:val="0"/>
                <w:color w:val="17202A"/>
                <w:sz w:val="16"/>
              </w:rPr>
              <w:t>Checks entity, affected rows, condition, and required relationships</w:t>
            </w:r>
          </w:p>
        </w:tc>
        <w:tc>
          <w:tcPr>
            <w:tcW w:type="dxa" w:w="2448"/>
            <w:vAlign w:val="center"/>
            <w:shd w:fill="F4F7F9"/>
          </w:tcPr>
          <w:p>
            <w:r/>
            <w:r>
              <w:rPr>
                <w:rFonts w:ascii="Aptos" w:hAnsi="Aptos"/>
                <w:b w:val="0"/>
                <w:color w:val="17202A"/>
                <w:sz w:val="16"/>
              </w:rPr>
              <w:t>combined_evidence_gate.py</w:t>
            </w:r>
          </w:p>
        </w:tc>
      </w:tr>
      <w:tr>
        <w:tc>
          <w:tcPr>
            <w:tcW w:type="dxa" w:w="1800"/>
            <w:vAlign w:val="center"/>
            <w:shd w:fill="FFFFFF"/>
          </w:tcPr>
          <w:p>
            <w:r/>
            <w:r>
              <w:rPr>
                <w:rFonts w:ascii="Aptos" w:hAnsi="Aptos"/>
                <w:b w:val="0"/>
                <w:color w:val="17202A"/>
                <w:sz w:val="16"/>
              </w:rPr>
              <w:t>Reasoning</w:t>
            </w:r>
          </w:p>
        </w:tc>
        <w:tc>
          <w:tcPr>
            <w:tcW w:type="dxa" w:w="5112"/>
            <w:vAlign w:val="center"/>
            <w:shd w:fill="FFFFFF"/>
          </w:tcPr>
          <w:p>
            <w:r/>
            <w:r>
              <w:rPr>
                <w:rFonts w:ascii="Aptos" w:hAnsi="Aptos"/>
                <w:b w:val="0"/>
                <w:color w:val="17202A"/>
                <w:sz w:val="16"/>
              </w:rPr>
              <w:t>Optional OpenAI reasoning over masked evidence package</w:t>
            </w:r>
          </w:p>
        </w:tc>
        <w:tc>
          <w:tcPr>
            <w:tcW w:type="dxa" w:w="2448"/>
            <w:vAlign w:val="center"/>
            <w:shd w:fill="FFFFFF"/>
          </w:tcPr>
          <w:p>
            <w:r/>
            <w:r>
              <w:rPr>
                <w:rFonts w:ascii="Aptos" w:hAnsi="Aptos"/>
                <w:b w:val="0"/>
                <w:color w:val="17202A"/>
                <w:sz w:val="16"/>
              </w:rPr>
              <w:t>llm_reasoning_agent.py; config.py</w:t>
            </w:r>
          </w:p>
        </w:tc>
      </w:tr>
      <w:tr>
        <w:tc>
          <w:tcPr>
            <w:tcW w:type="dxa" w:w="1800"/>
            <w:vAlign w:val="center"/>
            <w:shd w:fill="F4F7F9"/>
          </w:tcPr>
          <w:p>
            <w:r/>
            <w:r>
              <w:rPr>
                <w:rFonts w:ascii="Aptos" w:hAnsi="Aptos"/>
                <w:b w:val="0"/>
                <w:color w:val="17202A"/>
                <w:sz w:val="16"/>
              </w:rPr>
              <w:t>Report composer</w:t>
            </w:r>
          </w:p>
        </w:tc>
        <w:tc>
          <w:tcPr>
            <w:tcW w:type="dxa" w:w="5112"/>
            <w:vAlign w:val="center"/>
            <w:shd w:fill="F4F7F9"/>
          </w:tcPr>
          <w:p>
            <w:r/>
            <w:r>
              <w:rPr>
                <w:rFonts w:ascii="Aptos" w:hAnsi="Aptos"/>
                <w:b w:val="0"/>
                <w:color w:val="17202A"/>
                <w:sz w:val="16"/>
              </w:rPr>
              <w:t>Produces structured report content and downloadable formats</w:t>
            </w:r>
          </w:p>
        </w:tc>
        <w:tc>
          <w:tcPr>
            <w:tcW w:type="dxa" w:w="2448"/>
            <w:vAlign w:val="center"/>
            <w:shd w:fill="F4F7F9"/>
          </w:tcPr>
          <w:p>
            <w:r/>
            <w:r>
              <w:rPr>
                <w:rFonts w:ascii="Aptos" w:hAnsi="Aptos"/>
                <w:b w:val="0"/>
                <w:color w:val="17202A"/>
                <w:sz w:val="16"/>
              </w:rPr>
              <w:t>report_composer_agent.py</w:t>
            </w:r>
          </w:p>
        </w:tc>
      </w:tr>
      <w:tr>
        <w:tc>
          <w:tcPr>
            <w:tcW w:type="dxa" w:w="1800"/>
            <w:vAlign w:val="center"/>
            <w:shd w:fill="FFFFFF"/>
          </w:tcPr>
          <w:p>
            <w:r/>
            <w:r>
              <w:rPr>
                <w:rFonts w:ascii="Aptos" w:hAnsi="Aptos"/>
                <w:b w:val="0"/>
                <w:color w:val="17202A"/>
                <w:sz w:val="16"/>
              </w:rPr>
              <w:t>Evaluation</w:t>
            </w:r>
          </w:p>
        </w:tc>
        <w:tc>
          <w:tcPr>
            <w:tcW w:type="dxa" w:w="5112"/>
            <w:vAlign w:val="center"/>
            <w:shd w:fill="FFFFFF"/>
          </w:tcPr>
          <w:p>
            <w:r/>
            <w:r>
              <w:rPr>
                <w:rFonts w:ascii="Aptos" w:hAnsi="Aptos"/>
                <w:b w:val="0"/>
                <w:color w:val="17202A"/>
                <w:sz w:val="16"/>
              </w:rPr>
              <w:t>Prepares fixtures, invokes public API, verifies, judges, persists, cleans</w:t>
            </w:r>
          </w:p>
        </w:tc>
        <w:tc>
          <w:tcPr>
            <w:tcW w:type="dxa" w:w="2448"/>
            <w:vAlign w:val="center"/>
            <w:shd w:fill="FFFFFF"/>
          </w:tcPr>
          <w:p>
            <w:pPr>
              <w:jc w:val="center"/>
            </w:pPr>
            <w:r/>
            <w:r>
              <w:rPr>
                <w:rFonts w:ascii="Aptos" w:hAnsi="Aptos"/>
                <w:b w:val="0"/>
                <w:color w:val="17202A"/>
                <w:sz w:val="16"/>
              </w:rPr>
              <w:t>evaluation/**</w:t>
            </w:r>
          </w:p>
        </w:tc>
      </w:tr>
    </w:tbl>
    <w:p/>
    <w:p>
      <w:pPr>
        <w:pStyle w:val="Heading2"/>
      </w:pPr>
      <w:r>
        <w:t>3.1 Investigation sequence</w:t>
      </w:r>
    </w:p>
    <w:p>
      <w:r>
        <w:t>Figure 2 shows the implemented order. Metadata and evidence constrain later stages; rejected SQL is not executed.</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943600" cy="3343275"/>
                    </a:xfrm>
                    <a:prstGeom prst="rect"/>
                  </pic:spPr>
                </pic:pic>
              </a:graphicData>
            </a:graphic>
          </wp:inline>
        </w:drawing>
      </w:r>
    </w:p>
    <w:p>
      <w:pPr>
        <w:pStyle w:val="Caption"/>
        <w:jc w:val="center"/>
      </w:pPr>
      <w:r>
        <w:rPr>
          <w:b/>
        </w:rPr>
        <w:t>Figure 2. Investigation sequence from natural-language question to report.</w:t>
      </w:r>
    </w:p>
    <w:p>
      <w:pPr>
        <w:jc w:val="center"/>
      </w:pPr>
      <w:r>
        <w:rPr>
          <w:i/>
          <w:sz w:val="16"/>
        </w:rPr>
        <w:t>Source: Created from the verified system implementation and frozen benchmark artifacts.</w:t>
      </w:r>
    </w:p>
    <w:p>
      <w:pPr>
        <w:pStyle w:val="Heading1"/>
      </w:pPr>
      <w:r>
        <w:t>4. Evidence and Safety Controls</w:t>
      </w:r>
    </w:p>
    <w:p>
      <w:r>
        <w:t>The implementation allows SELECT, SHOW, DESCRIBE, DESC, and EXPLAIN statement families and rejects writes and stored-procedure execution in the evidence path. The default maximum investigation result is 100 rows, and full-table scans are disabled by default. Evaluation connections are documented as separate contained read-only identities with db_datareader and explicit denials for mutation and procedure execution. These controls reduce risk but are not a formal proof of SQL safety and do not establish fitness for production use.</w:t>
      </w:r>
    </w:p>
    <w:p>
      <w:pPr>
        <w:pStyle w:val="Caption"/>
      </w:pPr>
      <w:r>
        <w:rPr>
          <w:b/>
        </w:rPr>
        <w:t>Table 2. Safety controls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shd w:fill="17324D"/>
          </w:tcPr>
          <w:p>
            <w:pPr>
              <w:jc w:val="center"/>
            </w:pPr>
            <w:r/>
            <w:r>
              <w:rPr>
                <w:rFonts w:ascii="Aptos" w:hAnsi="Aptos"/>
                <w:b/>
                <w:color w:val="FFFFFF"/>
                <w:sz w:val="16"/>
              </w:rPr>
              <w:t>Control</w:t>
            </w:r>
          </w:p>
        </w:tc>
        <w:tc>
          <w:tcPr>
            <w:tcW w:type="dxa" w:w="4032"/>
            <w:vAlign w:val="center"/>
            <w:shd w:fill="17324D"/>
          </w:tcPr>
          <w:p>
            <w:pPr>
              <w:jc w:val="center"/>
            </w:pPr>
            <w:r/>
            <w:r>
              <w:rPr>
                <w:rFonts w:ascii="Aptos" w:hAnsi="Aptos"/>
                <w:b/>
                <w:color w:val="FFFFFF"/>
                <w:sz w:val="16"/>
              </w:rPr>
              <w:t>Implemented behavior</w:t>
            </w:r>
          </w:p>
        </w:tc>
        <w:tc>
          <w:tcPr>
            <w:tcW w:type="dxa" w:w="3240"/>
            <w:vAlign w:val="center"/>
            <w:shd w:fill="17324D"/>
          </w:tcPr>
          <w:p>
            <w:pPr>
              <w:jc w:val="center"/>
            </w:pPr>
            <w:r/>
            <w:r>
              <w:rPr>
                <w:rFonts w:ascii="Aptos" w:hAnsi="Aptos"/>
                <w:b/>
                <w:color w:val="FFFFFF"/>
                <w:sz w:val="16"/>
              </w:rPr>
              <w:t>Qualification</w:t>
            </w:r>
          </w:p>
        </w:tc>
      </w:tr>
      <w:tr>
        <w:tc>
          <w:tcPr>
            <w:tcW w:type="dxa" w:w="2088"/>
            <w:vAlign w:val="center"/>
            <w:shd w:fill="FFFFFF"/>
          </w:tcPr>
          <w:p>
            <w:r/>
            <w:r>
              <w:rPr>
                <w:rFonts w:ascii="Aptos" w:hAnsi="Aptos"/>
                <w:b w:val="0"/>
                <w:color w:val="17202A"/>
                <w:sz w:val="16"/>
              </w:rPr>
              <w:t>Statement allowlist</w:t>
            </w:r>
          </w:p>
        </w:tc>
        <w:tc>
          <w:tcPr>
            <w:tcW w:type="dxa" w:w="4032"/>
            <w:vAlign w:val="center"/>
            <w:shd w:fill="FFFFFF"/>
          </w:tcPr>
          <w:p>
            <w:r/>
            <w:r>
              <w:rPr>
                <w:rFonts w:ascii="Aptos" w:hAnsi="Aptos"/>
                <w:b w:val="0"/>
                <w:color w:val="17202A"/>
                <w:sz w:val="16"/>
              </w:rPr>
              <w:t>SELECT, SHOW, DESCRIBE, DESC, EXPLAIN</w:t>
            </w:r>
          </w:p>
        </w:tc>
        <w:tc>
          <w:tcPr>
            <w:tcW w:type="dxa" w:w="3240"/>
            <w:vAlign w:val="center"/>
            <w:shd w:fill="FFFFFF"/>
          </w:tcPr>
          <w:p>
            <w:r/>
            <w:r>
              <w:rPr>
                <w:rFonts w:ascii="Aptos" w:hAnsi="Aptos"/>
                <w:b w:val="0"/>
                <w:color w:val="17202A"/>
                <w:sz w:val="16"/>
              </w:rPr>
              <w:t>Not a claim of complete semantic SQL parsing</w:t>
            </w:r>
          </w:p>
        </w:tc>
      </w:tr>
      <w:tr>
        <w:tc>
          <w:tcPr>
            <w:tcW w:type="dxa" w:w="2088"/>
            <w:vAlign w:val="center"/>
            <w:shd w:fill="F4F7F9"/>
          </w:tcPr>
          <w:p>
            <w:r/>
            <w:r>
              <w:rPr>
                <w:rFonts w:ascii="Aptos" w:hAnsi="Aptos"/>
                <w:b w:val="0"/>
                <w:color w:val="17202A"/>
                <w:sz w:val="16"/>
              </w:rPr>
              <w:t>Result bound</w:t>
            </w:r>
          </w:p>
        </w:tc>
        <w:tc>
          <w:tcPr>
            <w:tcW w:type="dxa" w:w="4032"/>
            <w:vAlign w:val="center"/>
            <w:shd w:fill="F4F7F9"/>
          </w:tcPr>
          <w:p>
            <w:r/>
            <w:r>
              <w:rPr>
                <w:rFonts w:ascii="Aptos" w:hAnsi="Aptos"/>
                <w:b w:val="0"/>
                <w:color w:val="17202A"/>
                <w:sz w:val="16"/>
              </w:rPr>
              <w:t>MAX_INVESTIGATION_ROWS defaults to 100</w:t>
            </w:r>
          </w:p>
        </w:tc>
        <w:tc>
          <w:tcPr>
            <w:tcW w:type="dxa" w:w="3240"/>
            <w:vAlign w:val="center"/>
            <w:shd w:fill="F4F7F9"/>
          </w:tcPr>
          <w:p>
            <w:pPr>
              <w:jc w:val="center"/>
            </w:pPr>
            <w:r/>
            <w:r>
              <w:rPr>
                <w:rFonts w:ascii="Aptos" w:hAnsi="Aptos"/>
                <w:b w:val="0"/>
                <w:color w:val="17202A"/>
                <w:sz w:val="16"/>
              </w:rPr>
              <w:t>Configuration dependent</w:t>
            </w:r>
          </w:p>
        </w:tc>
      </w:tr>
      <w:tr>
        <w:tc>
          <w:tcPr>
            <w:tcW w:type="dxa" w:w="2088"/>
            <w:vAlign w:val="center"/>
            <w:shd w:fill="FFFFFF"/>
          </w:tcPr>
          <w:p>
            <w:r/>
            <w:r>
              <w:rPr>
                <w:rFonts w:ascii="Aptos" w:hAnsi="Aptos"/>
                <w:b w:val="0"/>
                <w:color w:val="17202A"/>
                <w:sz w:val="16"/>
              </w:rPr>
              <w:t>Full scans</w:t>
            </w:r>
          </w:p>
        </w:tc>
        <w:tc>
          <w:tcPr>
            <w:tcW w:type="dxa" w:w="4032"/>
            <w:vAlign w:val="center"/>
            <w:shd w:fill="FFFFFF"/>
          </w:tcPr>
          <w:p>
            <w:pPr>
              <w:jc w:val="center"/>
            </w:pPr>
            <w:r/>
            <w:r>
              <w:rPr>
                <w:rFonts w:ascii="Aptos" w:hAnsi="Aptos"/>
                <w:b w:val="0"/>
                <w:color w:val="17202A"/>
                <w:sz w:val="16"/>
              </w:rPr>
              <w:t>Disabled by default</w:t>
            </w:r>
          </w:p>
        </w:tc>
        <w:tc>
          <w:tcPr>
            <w:tcW w:type="dxa" w:w="3240"/>
            <w:vAlign w:val="center"/>
            <w:shd w:fill="FFFFFF"/>
          </w:tcPr>
          <w:p>
            <w:r/>
            <w:r>
              <w:rPr>
                <w:rFonts w:ascii="Aptos" w:hAnsi="Aptos"/>
                <w:b w:val="0"/>
                <w:color w:val="17202A"/>
                <w:sz w:val="16"/>
              </w:rPr>
              <w:t>May be explicitly configured</w:t>
            </w:r>
          </w:p>
        </w:tc>
      </w:tr>
      <w:tr>
        <w:tc>
          <w:tcPr>
            <w:tcW w:type="dxa" w:w="2088"/>
            <w:vAlign w:val="center"/>
            <w:shd w:fill="F4F7F9"/>
          </w:tcPr>
          <w:p>
            <w:r/>
            <w:r>
              <w:rPr>
                <w:rFonts w:ascii="Aptos" w:hAnsi="Aptos"/>
                <w:b w:val="0"/>
                <w:color w:val="17202A"/>
                <w:sz w:val="16"/>
              </w:rPr>
              <w:t>Identity isolation</w:t>
            </w:r>
          </w:p>
        </w:tc>
        <w:tc>
          <w:tcPr>
            <w:tcW w:type="dxa" w:w="4032"/>
            <w:vAlign w:val="center"/>
            <w:shd w:fill="F4F7F9"/>
          </w:tcPr>
          <w:p>
            <w:r/>
            <w:r>
              <w:rPr>
                <w:rFonts w:ascii="Aptos" w:hAnsi="Aptos"/>
                <w:b w:val="0"/>
                <w:color w:val="17202A"/>
                <w:sz w:val="16"/>
              </w:rPr>
              <w:t>Separate read-only evaluation identity</w:t>
            </w:r>
          </w:p>
        </w:tc>
        <w:tc>
          <w:tcPr>
            <w:tcW w:type="dxa" w:w="3240"/>
            <w:vAlign w:val="center"/>
            <w:shd w:fill="F4F7F9"/>
          </w:tcPr>
          <w:p>
            <w:r/>
            <w:r>
              <w:rPr>
                <w:rFonts w:ascii="Aptos" w:hAnsi="Aptos"/>
                <w:b w:val="0"/>
                <w:color w:val="17202A"/>
                <w:sz w:val="16"/>
              </w:rPr>
              <w:t>Documented deployment control</w:t>
            </w:r>
          </w:p>
        </w:tc>
      </w:tr>
      <w:tr>
        <w:tc>
          <w:tcPr>
            <w:tcW w:type="dxa" w:w="2088"/>
            <w:vAlign w:val="center"/>
            <w:shd w:fill="FFFFFF"/>
          </w:tcPr>
          <w:p>
            <w:r/>
            <w:r>
              <w:rPr>
                <w:rFonts w:ascii="Aptos" w:hAnsi="Aptos"/>
                <w:b w:val="0"/>
                <w:color w:val="17202A"/>
                <w:sz w:val="16"/>
              </w:rPr>
              <w:t>Approval boundary</w:t>
            </w:r>
          </w:p>
        </w:tc>
        <w:tc>
          <w:tcPr>
            <w:tcW w:type="dxa" w:w="4032"/>
            <w:vAlign w:val="center"/>
            <w:shd w:fill="FFFFFF"/>
          </w:tcPr>
          <w:p>
            <w:r/>
            <w:r>
              <w:rPr>
                <w:rFonts w:ascii="Aptos" w:hAnsi="Aptos"/>
                <w:b w:val="0"/>
                <w:color w:val="17202A"/>
                <w:sz w:val="16"/>
              </w:rPr>
              <w:t>Suggested verification queries require user approval</w:t>
            </w:r>
          </w:p>
        </w:tc>
        <w:tc>
          <w:tcPr>
            <w:tcW w:type="dxa" w:w="3240"/>
            <w:vAlign w:val="center"/>
            <w:shd w:fill="FFFFFF"/>
          </w:tcPr>
          <w:p>
            <w:r/>
            <w:r>
              <w:rPr>
                <w:rFonts w:ascii="Aptos" w:hAnsi="Aptos"/>
                <w:b w:val="0"/>
                <w:color w:val="17202A"/>
                <w:sz w:val="16"/>
              </w:rPr>
              <w:t>Applies to verification flow</w:t>
            </w:r>
          </w:p>
        </w:tc>
      </w:tr>
      <w:tr>
        <w:tc>
          <w:tcPr>
            <w:tcW w:type="dxa" w:w="2088"/>
            <w:vAlign w:val="center"/>
            <w:shd w:fill="F4F7F9"/>
          </w:tcPr>
          <w:p>
            <w:r/>
            <w:r>
              <w:rPr>
                <w:rFonts w:ascii="Aptos" w:hAnsi="Aptos"/>
                <w:b w:val="0"/>
                <w:color w:val="17202A"/>
                <w:sz w:val="16"/>
              </w:rPr>
              <w:t>Audit logging</w:t>
            </w:r>
          </w:p>
        </w:tc>
        <w:tc>
          <w:tcPr>
            <w:tcW w:type="dxa" w:w="4032"/>
            <w:vAlign w:val="center"/>
            <w:shd w:fill="F4F7F9"/>
          </w:tcPr>
          <w:p>
            <w:r/>
            <w:r>
              <w:rPr>
                <w:rFonts w:ascii="Aptos" w:hAnsi="Aptos"/>
                <w:b w:val="0"/>
                <w:color w:val="17202A"/>
                <w:sz w:val="16"/>
              </w:rPr>
              <w:t>Feature enabled by default</w:t>
            </w:r>
          </w:p>
        </w:tc>
        <w:tc>
          <w:tcPr>
            <w:tcW w:type="dxa" w:w="3240"/>
            <w:vAlign w:val="center"/>
            <w:shd w:fill="F4F7F9"/>
          </w:tcPr>
          <w:p>
            <w:r/>
            <w:r>
              <w:rPr>
                <w:rFonts w:ascii="Aptos" w:hAnsi="Aptos"/>
                <w:b w:val="0"/>
                <w:color w:val="17202A"/>
                <w:sz w:val="16"/>
              </w:rPr>
              <w:t>Coverage depends on execution path and deployment</w:t>
            </w:r>
          </w:p>
        </w:tc>
      </w:tr>
    </w:tbl>
    <w:p/>
    <w:p>
      <w:pPr>
        <w:pStyle w:val="Heading2"/>
      </w:pPr>
      <w:r>
        <w:t>4.1 Evidence-gate behavior</w:t>
      </w:r>
    </w:p>
    <w:p>
      <w:r>
        <w:t>The gate determines whether connected evidence supports reasoning. Figure 3 presents the reporting semantics: supported claims may be confirmed; partial support requires qualification; insufficient evidence withholds a root cause; contradiction rejects the claim. The frozen benchmark directly measures gate pass/rejection, not a complete four-class calibration study.</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943600" cy="3343275"/>
                    </a:xfrm>
                    <a:prstGeom prst="rect"/>
                  </pic:spPr>
                </pic:pic>
              </a:graphicData>
            </a:graphic>
          </wp:inline>
        </w:drawing>
      </w:r>
    </w:p>
    <w:p>
      <w:pPr>
        <w:pStyle w:val="Caption"/>
        <w:jc w:val="center"/>
      </w:pPr>
      <w:r>
        <w:rPr>
          <w:b/>
        </w:rPr>
        <w:t>Figure 3. Evidence-gate decisions and permitted report language.</w:t>
      </w:r>
    </w:p>
    <w:p>
      <w:pPr>
        <w:jc w:val="center"/>
      </w:pPr>
      <w:r>
        <w:rPr>
          <w:i/>
          <w:sz w:val="16"/>
        </w:rPr>
        <w:t>Source: Created from the verified system implementation and frozen benchmark artifacts.</w:t>
      </w:r>
    </w:p>
    <w:p>
      <w:pPr>
        <w:pStyle w:val="Heading1"/>
      </w:pPr>
      <w:r>
        <w:t>5. Benchmark and Method</w:t>
      </w:r>
    </w:p>
    <w:p>
      <w:r>
        <w:t>The frozen inventory contains 125 active scenarios: 25 per domain. Each scenario supplies scenario.json plus baseline_reset.sql, precondition.sql, inject.sql, verify.sql, and cleanup.sql. This yields 625 SQL scripts. The run used MySQL databases on 127.0.0.1, application version 0.1.0, gpt-4.1-mini for both reasoning and judging, prompt versions evidence-grounded-v1 and ai-judge-v2-entity-provenance, concurrency 1, and a 600-second scenario timeout.</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943600" cy="3343275"/>
                    </a:xfrm>
                    <a:prstGeom prst="rect"/>
                  </pic:spPr>
                </pic:pic>
              </a:graphicData>
            </a:graphic>
          </wp:inline>
        </w:drawing>
      </w:r>
    </w:p>
    <w:p>
      <w:pPr>
        <w:pStyle w:val="Caption"/>
        <w:jc w:val="center"/>
      </w:pPr>
      <w:r>
        <w:rPr>
          <w:b/>
        </w:rPr>
        <w:t>Figure 4. Benchmark composition by domain and difficulty.</w:t>
      </w:r>
    </w:p>
    <w:p>
      <w:pPr>
        <w:jc w:val="center"/>
      </w:pPr>
      <w:r>
        <w:rPr>
          <w:i/>
          <w:sz w:val="16"/>
        </w:rPr>
        <w:t>Source: Created from the verified system implementation and frozen benchmark artifacts.</w:t>
      </w:r>
    </w:p>
    <w:p>
      <w:pPr>
        <w:pStyle w:val="Caption"/>
      </w:pPr>
      <w:r>
        <w:rPr>
          <w:b/>
        </w:rPr>
        <w:t>Table 3. Benchmark distribution by domain</w:t>
      </w:r>
    </w:p>
    <w:tbl>
      <w:tblPr>
        <w:tblW w:type="auto" w:w="0"/>
        <w:jc w:val="center"/>
        <w:tblLayout w:type="fixed"/>
        <w:tblLook w:firstColumn="1" w:firstRow="1" w:lastColumn="0" w:lastRow="0" w:noHBand="0" w:noVBand="1" w:val="04A0"/>
      </w:tblPr>
      <w:tblGrid>
        <w:gridCol w:w="3120"/>
        <w:gridCol w:w="3120"/>
        <w:gridCol w:w="3120"/>
      </w:tblGrid>
      <w:tr>
        <w:tc>
          <w:tcPr>
            <w:tcW w:type="dxa" w:w="4032"/>
            <w:vAlign w:val="center"/>
            <w:shd w:fill="17324D"/>
          </w:tcPr>
          <w:p>
            <w:pPr>
              <w:jc w:val="center"/>
            </w:pPr>
            <w:r/>
            <w:r>
              <w:rPr>
                <w:rFonts w:ascii="Aptos" w:hAnsi="Aptos"/>
                <w:b/>
                <w:color w:val="FFFFFF"/>
                <w:sz w:val="16"/>
              </w:rPr>
              <w:t>Domain</w:t>
            </w:r>
          </w:p>
        </w:tc>
        <w:tc>
          <w:tcPr>
            <w:tcW w:type="dxa" w:w="2448"/>
            <w:vAlign w:val="center"/>
            <w:shd w:fill="17324D"/>
          </w:tcPr>
          <w:p>
            <w:pPr>
              <w:jc w:val="center"/>
            </w:pPr>
            <w:r/>
            <w:r>
              <w:rPr>
                <w:rFonts w:ascii="Aptos" w:hAnsi="Aptos"/>
                <w:b/>
                <w:color w:val="FFFFFF"/>
                <w:sz w:val="16"/>
              </w:rPr>
              <w:t>Scenarios</w:t>
            </w:r>
          </w:p>
        </w:tc>
        <w:tc>
          <w:tcPr>
            <w:tcW w:type="dxa" w:w="2880"/>
            <w:vAlign w:val="center"/>
            <w:shd w:fill="17324D"/>
          </w:tcPr>
          <w:p>
            <w:pPr>
              <w:jc w:val="center"/>
            </w:pPr>
            <w:r/>
            <w:r>
              <w:rPr>
                <w:rFonts w:ascii="Aptos" w:hAnsi="Aptos"/>
                <w:b/>
                <w:color w:val="FFFFFF"/>
                <w:sz w:val="16"/>
              </w:rPr>
              <w:t>Share</w:t>
            </w:r>
          </w:p>
        </w:tc>
      </w:tr>
      <w:tr>
        <w:tc>
          <w:tcPr>
            <w:tcW w:type="dxa" w:w="4032"/>
            <w:vAlign w:val="center"/>
            <w:shd w:fill="FFFFFF"/>
          </w:tcPr>
          <w:p>
            <w:r/>
            <w:r>
              <w:rPr>
                <w:rFonts w:ascii="Aptos" w:hAnsi="Aptos"/>
                <w:b w:val="0"/>
                <w:color w:val="17202A"/>
                <w:sz w:val="16"/>
              </w:rPr>
              <w:t>payroll</w:t>
            </w:r>
          </w:p>
        </w:tc>
        <w:tc>
          <w:tcPr>
            <w:tcW w:type="dxa" w:w="2448"/>
            <w:vAlign w:val="center"/>
            <w:shd w:fill="FFFFFF"/>
          </w:tcPr>
          <w:p>
            <w:pPr>
              <w:jc w:val="center"/>
            </w:pPr>
            <w:r/>
            <w:r>
              <w:rPr>
                <w:rFonts w:ascii="Aptos" w:hAnsi="Aptos"/>
                <w:b w:val="0"/>
                <w:color w:val="17202A"/>
                <w:sz w:val="16"/>
              </w:rPr>
              <w:t>25</w:t>
            </w:r>
          </w:p>
        </w:tc>
        <w:tc>
          <w:tcPr>
            <w:tcW w:type="dxa" w:w="2880"/>
            <w:vAlign w:val="center"/>
            <w:shd w:fill="FFFFFF"/>
          </w:tcPr>
          <w:p>
            <w:pPr>
              <w:jc w:val="center"/>
            </w:pPr>
            <w:r/>
            <w:r>
              <w:rPr>
                <w:rFonts w:ascii="Aptos" w:hAnsi="Aptos"/>
                <w:b w:val="0"/>
                <w:color w:val="17202A"/>
                <w:sz w:val="16"/>
              </w:rPr>
              <w:t>20.0%</w:t>
            </w:r>
          </w:p>
        </w:tc>
      </w:tr>
      <w:tr>
        <w:tc>
          <w:tcPr>
            <w:tcW w:type="dxa" w:w="4032"/>
            <w:vAlign w:val="center"/>
            <w:shd w:fill="F4F7F9"/>
          </w:tcPr>
          <w:p>
            <w:r/>
            <w:r>
              <w:rPr>
                <w:rFonts w:ascii="Aptos" w:hAnsi="Aptos"/>
                <w:b w:val="0"/>
                <w:color w:val="17202A"/>
                <w:sz w:val="16"/>
              </w:rPr>
              <w:t>clinic</w:t>
            </w:r>
          </w:p>
        </w:tc>
        <w:tc>
          <w:tcPr>
            <w:tcW w:type="dxa" w:w="2448"/>
            <w:vAlign w:val="center"/>
            <w:shd w:fill="F4F7F9"/>
          </w:tcPr>
          <w:p>
            <w:pPr>
              <w:jc w:val="center"/>
            </w:pPr>
            <w:r/>
            <w:r>
              <w:rPr>
                <w:rFonts w:ascii="Aptos" w:hAnsi="Aptos"/>
                <w:b w:val="0"/>
                <w:color w:val="17202A"/>
                <w:sz w:val="16"/>
              </w:rPr>
              <w:t>25</w:t>
            </w:r>
          </w:p>
        </w:tc>
        <w:tc>
          <w:tcPr>
            <w:tcW w:type="dxa" w:w="2880"/>
            <w:vAlign w:val="center"/>
            <w:shd w:fill="F4F7F9"/>
          </w:tcPr>
          <w:p>
            <w:pPr>
              <w:jc w:val="center"/>
            </w:pPr>
            <w:r/>
            <w:r>
              <w:rPr>
                <w:rFonts w:ascii="Aptos" w:hAnsi="Aptos"/>
                <w:b w:val="0"/>
                <w:color w:val="17202A"/>
                <w:sz w:val="16"/>
              </w:rPr>
              <w:t>20.0%</w:t>
            </w:r>
          </w:p>
        </w:tc>
      </w:tr>
      <w:tr>
        <w:tc>
          <w:tcPr>
            <w:tcW w:type="dxa" w:w="4032"/>
            <w:vAlign w:val="center"/>
            <w:shd w:fill="FFFFFF"/>
          </w:tcPr>
          <w:p>
            <w:r/>
            <w:r>
              <w:rPr>
                <w:rFonts w:ascii="Aptos" w:hAnsi="Aptos"/>
                <w:b w:val="0"/>
                <w:color w:val="17202A"/>
                <w:sz w:val="16"/>
              </w:rPr>
              <w:t>orders</w:t>
            </w:r>
          </w:p>
        </w:tc>
        <w:tc>
          <w:tcPr>
            <w:tcW w:type="dxa" w:w="2448"/>
            <w:vAlign w:val="center"/>
            <w:shd w:fill="FFFFFF"/>
          </w:tcPr>
          <w:p>
            <w:pPr>
              <w:jc w:val="center"/>
            </w:pPr>
            <w:r/>
            <w:r>
              <w:rPr>
                <w:rFonts w:ascii="Aptos" w:hAnsi="Aptos"/>
                <w:b w:val="0"/>
                <w:color w:val="17202A"/>
                <w:sz w:val="16"/>
              </w:rPr>
              <w:t>25</w:t>
            </w:r>
          </w:p>
        </w:tc>
        <w:tc>
          <w:tcPr>
            <w:tcW w:type="dxa" w:w="2880"/>
            <w:vAlign w:val="center"/>
            <w:shd w:fill="FFFFFF"/>
          </w:tcPr>
          <w:p>
            <w:pPr>
              <w:jc w:val="center"/>
            </w:pPr>
            <w:r/>
            <w:r>
              <w:rPr>
                <w:rFonts w:ascii="Aptos" w:hAnsi="Aptos"/>
                <w:b w:val="0"/>
                <w:color w:val="17202A"/>
                <w:sz w:val="16"/>
              </w:rPr>
              <w:t>20.0%</w:t>
            </w:r>
          </w:p>
        </w:tc>
      </w:tr>
      <w:tr>
        <w:tc>
          <w:tcPr>
            <w:tcW w:type="dxa" w:w="4032"/>
            <w:vAlign w:val="center"/>
            <w:shd w:fill="F4F7F9"/>
          </w:tcPr>
          <w:p>
            <w:r/>
            <w:r>
              <w:rPr>
                <w:rFonts w:ascii="Aptos" w:hAnsi="Aptos"/>
                <w:b w:val="0"/>
                <w:color w:val="17202A"/>
                <w:sz w:val="16"/>
              </w:rPr>
              <w:t>banking</w:t>
            </w:r>
          </w:p>
        </w:tc>
        <w:tc>
          <w:tcPr>
            <w:tcW w:type="dxa" w:w="2448"/>
            <w:vAlign w:val="center"/>
            <w:shd w:fill="F4F7F9"/>
          </w:tcPr>
          <w:p>
            <w:pPr>
              <w:jc w:val="center"/>
            </w:pPr>
            <w:r/>
            <w:r>
              <w:rPr>
                <w:rFonts w:ascii="Aptos" w:hAnsi="Aptos"/>
                <w:b w:val="0"/>
                <w:color w:val="17202A"/>
                <w:sz w:val="16"/>
              </w:rPr>
              <w:t>25</w:t>
            </w:r>
          </w:p>
        </w:tc>
        <w:tc>
          <w:tcPr>
            <w:tcW w:type="dxa" w:w="2880"/>
            <w:vAlign w:val="center"/>
            <w:shd w:fill="F4F7F9"/>
          </w:tcPr>
          <w:p>
            <w:pPr>
              <w:jc w:val="center"/>
            </w:pPr>
            <w:r/>
            <w:r>
              <w:rPr>
                <w:rFonts w:ascii="Aptos" w:hAnsi="Aptos"/>
                <w:b w:val="0"/>
                <w:color w:val="17202A"/>
                <w:sz w:val="16"/>
              </w:rPr>
              <w:t>20.0%</w:t>
            </w:r>
          </w:p>
        </w:tc>
      </w:tr>
      <w:tr>
        <w:tc>
          <w:tcPr>
            <w:tcW w:type="dxa" w:w="4032"/>
            <w:vAlign w:val="center"/>
            <w:shd w:fill="FFFFFF"/>
          </w:tcPr>
          <w:p>
            <w:r/>
            <w:r>
              <w:rPr>
                <w:rFonts w:ascii="Aptos" w:hAnsi="Aptos"/>
                <w:b w:val="0"/>
                <w:color w:val="17202A"/>
                <w:sz w:val="16"/>
              </w:rPr>
              <w:t>shipping</w:t>
            </w:r>
          </w:p>
        </w:tc>
        <w:tc>
          <w:tcPr>
            <w:tcW w:type="dxa" w:w="2448"/>
            <w:vAlign w:val="center"/>
            <w:shd w:fill="FFFFFF"/>
          </w:tcPr>
          <w:p>
            <w:pPr>
              <w:jc w:val="center"/>
            </w:pPr>
            <w:r/>
            <w:r>
              <w:rPr>
                <w:rFonts w:ascii="Aptos" w:hAnsi="Aptos"/>
                <w:b w:val="0"/>
                <w:color w:val="17202A"/>
                <w:sz w:val="16"/>
              </w:rPr>
              <w:t>25</w:t>
            </w:r>
          </w:p>
        </w:tc>
        <w:tc>
          <w:tcPr>
            <w:tcW w:type="dxa" w:w="2880"/>
            <w:vAlign w:val="center"/>
            <w:shd w:fill="FFFFFF"/>
          </w:tcPr>
          <w:p>
            <w:pPr>
              <w:jc w:val="center"/>
            </w:pPr>
            <w:r/>
            <w:r>
              <w:rPr>
                <w:rFonts w:ascii="Aptos" w:hAnsi="Aptos"/>
                <w:b w:val="0"/>
                <w:color w:val="17202A"/>
                <w:sz w:val="16"/>
              </w:rPr>
              <w:t>20.0%</w:t>
            </w:r>
          </w:p>
        </w:tc>
      </w:tr>
    </w:tbl>
    <w:p/>
    <w:p>
      <w:pPr>
        <w:pStyle w:val="Caption"/>
      </w:pPr>
      <w:r>
        <w:rPr>
          <w:b/>
        </w:rPr>
        <w:t>Table 4. Benchmark distribution by difficulty</w:t>
      </w:r>
    </w:p>
    <w:tbl>
      <w:tblPr>
        <w:tblW w:type="auto" w:w="0"/>
        <w:jc w:val="center"/>
        <w:tblLayout w:type="fixed"/>
        <w:tblLook w:firstColumn="1" w:firstRow="1" w:lastColumn="0" w:lastRow="0" w:noHBand="0" w:noVBand="1" w:val="04A0"/>
      </w:tblPr>
      <w:tblGrid>
        <w:gridCol w:w="3120"/>
        <w:gridCol w:w="3120"/>
        <w:gridCol w:w="3120"/>
      </w:tblGrid>
      <w:tr>
        <w:tc>
          <w:tcPr>
            <w:tcW w:type="dxa" w:w="4032"/>
            <w:vAlign w:val="center"/>
            <w:shd w:fill="17324D"/>
          </w:tcPr>
          <w:p>
            <w:pPr>
              <w:jc w:val="center"/>
            </w:pPr>
            <w:r/>
            <w:r>
              <w:rPr>
                <w:rFonts w:ascii="Aptos" w:hAnsi="Aptos"/>
                <w:b/>
                <w:color w:val="FFFFFF"/>
                <w:sz w:val="16"/>
              </w:rPr>
              <w:t>Difficulty</w:t>
            </w:r>
          </w:p>
        </w:tc>
        <w:tc>
          <w:tcPr>
            <w:tcW w:type="dxa" w:w="2448"/>
            <w:vAlign w:val="center"/>
            <w:shd w:fill="17324D"/>
          </w:tcPr>
          <w:p>
            <w:pPr>
              <w:jc w:val="center"/>
            </w:pPr>
            <w:r/>
            <w:r>
              <w:rPr>
                <w:rFonts w:ascii="Aptos" w:hAnsi="Aptos"/>
                <w:b/>
                <w:color w:val="FFFFFF"/>
                <w:sz w:val="16"/>
              </w:rPr>
              <w:t>Scenarios</w:t>
            </w:r>
          </w:p>
        </w:tc>
        <w:tc>
          <w:tcPr>
            <w:tcW w:type="dxa" w:w="2880"/>
            <w:vAlign w:val="center"/>
            <w:shd w:fill="17324D"/>
          </w:tcPr>
          <w:p>
            <w:pPr>
              <w:jc w:val="center"/>
            </w:pPr>
            <w:r/>
            <w:r>
              <w:rPr>
                <w:rFonts w:ascii="Aptos" w:hAnsi="Aptos"/>
                <w:b/>
                <w:color w:val="FFFFFF"/>
                <w:sz w:val="16"/>
              </w:rPr>
              <w:t>Share</w:t>
            </w:r>
          </w:p>
        </w:tc>
      </w:tr>
      <w:tr>
        <w:tc>
          <w:tcPr>
            <w:tcW w:type="dxa" w:w="4032"/>
            <w:vAlign w:val="center"/>
            <w:shd w:fill="FFFFFF"/>
          </w:tcPr>
          <w:p>
            <w:r/>
            <w:r>
              <w:rPr>
                <w:rFonts w:ascii="Aptos" w:hAnsi="Aptos"/>
                <w:b w:val="0"/>
                <w:color w:val="17202A"/>
                <w:sz w:val="16"/>
              </w:rPr>
              <w:t>medium</w:t>
            </w:r>
          </w:p>
        </w:tc>
        <w:tc>
          <w:tcPr>
            <w:tcW w:type="dxa" w:w="2448"/>
            <w:vAlign w:val="center"/>
            <w:shd w:fill="FFFFFF"/>
          </w:tcPr>
          <w:p>
            <w:pPr>
              <w:jc w:val="center"/>
            </w:pPr>
            <w:r/>
            <w:r>
              <w:rPr>
                <w:rFonts w:ascii="Aptos" w:hAnsi="Aptos"/>
                <w:b w:val="0"/>
                <w:color w:val="17202A"/>
                <w:sz w:val="16"/>
              </w:rPr>
              <w:t>50</w:t>
            </w:r>
          </w:p>
        </w:tc>
        <w:tc>
          <w:tcPr>
            <w:tcW w:type="dxa" w:w="2880"/>
            <w:vAlign w:val="center"/>
            <w:shd w:fill="FFFFFF"/>
          </w:tcPr>
          <w:p>
            <w:pPr>
              <w:jc w:val="center"/>
            </w:pPr>
            <w:r/>
            <w:r>
              <w:rPr>
                <w:rFonts w:ascii="Aptos" w:hAnsi="Aptos"/>
                <w:b w:val="0"/>
                <w:color w:val="17202A"/>
                <w:sz w:val="16"/>
              </w:rPr>
              <w:t>40.0%</w:t>
            </w:r>
          </w:p>
        </w:tc>
      </w:tr>
      <w:tr>
        <w:tc>
          <w:tcPr>
            <w:tcW w:type="dxa" w:w="4032"/>
            <w:vAlign w:val="center"/>
            <w:shd w:fill="F4F7F9"/>
          </w:tcPr>
          <w:p>
            <w:r/>
            <w:r>
              <w:rPr>
                <w:rFonts w:ascii="Aptos" w:hAnsi="Aptos"/>
                <w:b w:val="0"/>
                <w:color w:val="17202A"/>
                <w:sz w:val="16"/>
              </w:rPr>
              <w:t>hard</w:t>
            </w:r>
          </w:p>
        </w:tc>
        <w:tc>
          <w:tcPr>
            <w:tcW w:type="dxa" w:w="2448"/>
            <w:vAlign w:val="center"/>
            <w:shd w:fill="F4F7F9"/>
          </w:tcPr>
          <w:p>
            <w:pPr>
              <w:jc w:val="center"/>
            </w:pPr>
            <w:r/>
            <w:r>
              <w:rPr>
                <w:rFonts w:ascii="Aptos" w:hAnsi="Aptos"/>
                <w:b w:val="0"/>
                <w:color w:val="17202A"/>
                <w:sz w:val="16"/>
              </w:rPr>
              <w:t>45</w:t>
            </w:r>
          </w:p>
        </w:tc>
        <w:tc>
          <w:tcPr>
            <w:tcW w:type="dxa" w:w="2880"/>
            <w:vAlign w:val="center"/>
            <w:shd w:fill="F4F7F9"/>
          </w:tcPr>
          <w:p>
            <w:pPr>
              <w:jc w:val="center"/>
            </w:pPr>
            <w:r/>
            <w:r>
              <w:rPr>
                <w:rFonts w:ascii="Aptos" w:hAnsi="Aptos"/>
                <w:b w:val="0"/>
                <w:color w:val="17202A"/>
                <w:sz w:val="16"/>
              </w:rPr>
              <w:t>36.0%</w:t>
            </w:r>
          </w:p>
        </w:tc>
      </w:tr>
      <w:tr>
        <w:tc>
          <w:tcPr>
            <w:tcW w:type="dxa" w:w="4032"/>
            <w:vAlign w:val="center"/>
            <w:shd w:fill="FFFFFF"/>
          </w:tcPr>
          <w:p>
            <w:r/>
            <w:r>
              <w:rPr>
                <w:rFonts w:ascii="Aptos" w:hAnsi="Aptos"/>
                <w:b w:val="0"/>
                <w:color w:val="17202A"/>
                <w:sz w:val="16"/>
              </w:rPr>
              <w:t>easy</w:t>
            </w:r>
          </w:p>
        </w:tc>
        <w:tc>
          <w:tcPr>
            <w:tcW w:type="dxa" w:w="2448"/>
            <w:vAlign w:val="center"/>
            <w:shd w:fill="FFFFFF"/>
          </w:tcPr>
          <w:p>
            <w:pPr>
              <w:jc w:val="center"/>
            </w:pPr>
            <w:r/>
            <w:r>
              <w:rPr>
                <w:rFonts w:ascii="Aptos" w:hAnsi="Aptos"/>
                <w:b w:val="0"/>
                <w:color w:val="17202A"/>
                <w:sz w:val="16"/>
              </w:rPr>
              <w:t>20</w:t>
            </w:r>
          </w:p>
        </w:tc>
        <w:tc>
          <w:tcPr>
            <w:tcW w:type="dxa" w:w="2880"/>
            <w:vAlign w:val="center"/>
            <w:shd w:fill="FFFFFF"/>
          </w:tcPr>
          <w:p>
            <w:pPr>
              <w:jc w:val="center"/>
            </w:pPr>
            <w:r/>
            <w:r>
              <w:rPr>
                <w:rFonts w:ascii="Aptos" w:hAnsi="Aptos"/>
                <w:b w:val="0"/>
                <w:color w:val="17202A"/>
                <w:sz w:val="16"/>
              </w:rPr>
              <w:t>16.0%</w:t>
            </w:r>
          </w:p>
        </w:tc>
      </w:tr>
      <w:tr>
        <w:tc>
          <w:tcPr>
            <w:tcW w:type="dxa" w:w="4032"/>
            <w:vAlign w:val="center"/>
            <w:shd w:fill="F4F7F9"/>
          </w:tcPr>
          <w:p>
            <w:r/>
            <w:r>
              <w:rPr>
                <w:rFonts w:ascii="Aptos" w:hAnsi="Aptos"/>
                <w:b w:val="0"/>
                <w:color w:val="17202A"/>
                <w:sz w:val="16"/>
              </w:rPr>
              <w:t>expert</w:t>
            </w:r>
          </w:p>
        </w:tc>
        <w:tc>
          <w:tcPr>
            <w:tcW w:type="dxa" w:w="2448"/>
            <w:vAlign w:val="center"/>
            <w:shd w:fill="F4F7F9"/>
          </w:tcPr>
          <w:p>
            <w:pPr>
              <w:jc w:val="center"/>
            </w:pPr>
            <w:r/>
            <w:r>
              <w:rPr>
                <w:rFonts w:ascii="Aptos" w:hAnsi="Aptos"/>
                <w:b w:val="0"/>
                <w:color w:val="17202A"/>
                <w:sz w:val="16"/>
              </w:rPr>
              <w:t>10</w:t>
            </w:r>
          </w:p>
        </w:tc>
        <w:tc>
          <w:tcPr>
            <w:tcW w:type="dxa" w:w="2880"/>
            <w:vAlign w:val="center"/>
            <w:shd w:fill="F4F7F9"/>
          </w:tcPr>
          <w:p>
            <w:pPr>
              <w:jc w:val="center"/>
            </w:pPr>
            <w:r/>
            <w:r>
              <w:rPr>
                <w:rFonts w:ascii="Aptos" w:hAnsi="Aptos"/>
                <w:b w:val="0"/>
                <w:color w:val="17202A"/>
                <w:sz w:val="16"/>
              </w:rPr>
              <w:t>8.0%</w:t>
            </w:r>
          </w:p>
        </w:tc>
      </w:tr>
    </w:tbl>
    <w:p/>
    <w:p>
      <w:pPr>
        <w:pStyle w:val="Caption"/>
      </w:pPr>
      <w:r>
        <w:rPr>
          <w:b/>
        </w:rPr>
        <w:t>Table 5. Experimental environment</w:t>
      </w:r>
    </w:p>
    <w:tbl>
      <w:tblPr>
        <w:tblW w:type="auto" w:w="0"/>
        <w:jc w:val="center"/>
        <w:tblLayout w:type="fixed"/>
        <w:tblLook w:firstColumn="1" w:firstRow="1" w:lastColumn="0" w:lastRow="0" w:noHBand="0" w:noVBand="1" w:val="04A0"/>
      </w:tblPr>
      <w:tblGrid>
        <w:gridCol w:w="4680"/>
        <w:gridCol w:w="4680"/>
      </w:tblGrid>
      <w:tr>
        <w:tc>
          <w:tcPr>
            <w:tcW w:type="dxa" w:w="3168"/>
            <w:vAlign w:val="center"/>
            <w:shd w:fill="17324D"/>
          </w:tcPr>
          <w:p>
            <w:pPr>
              <w:jc w:val="center"/>
            </w:pPr>
            <w:r/>
            <w:r>
              <w:rPr>
                <w:rFonts w:ascii="Aptos" w:hAnsi="Aptos"/>
                <w:b/>
                <w:color w:val="FFFFFF"/>
                <w:sz w:val="16"/>
              </w:rPr>
              <w:t>Field</w:t>
            </w:r>
          </w:p>
        </w:tc>
        <w:tc>
          <w:tcPr>
            <w:tcW w:type="dxa" w:w="6192"/>
            <w:vAlign w:val="center"/>
            <w:shd w:fill="17324D"/>
          </w:tcPr>
          <w:p>
            <w:pPr>
              <w:jc w:val="center"/>
            </w:pPr>
            <w:r/>
            <w:r>
              <w:rPr>
                <w:rFonts w:ascii="Aptos" w:hAnsi="Aptos"/>
                <w:b/>
                <w:color w:val="FFFFFF"/>
                <w:sz w:val="16"/>
              </w:rPr>
              <w:t>Verified value</w:t>
            </w:r>
          </w:p>
        </w:tc>
      </w:tr>
      <w:tr>
        <w:tc>
          <w:tcPr>
            <w:tcW w:type="dxa" w:w="3168"/>
            <w:vAlign w:val="center"/>
            <w:shd w:fill="FFFFFF"/>
          </w:tcPr>
          <w:p>
            <w:r/>
            <w:r>
              <w:rPr>
                <w:rFonts w:ascii="Aptos" w:hAnsi="Aptos"/>
                <w:b w:val="0"/>
                <w:color w:val="17202A"/>
                <w:sz w:val="16"/>
              </w:rPr>
              <w:t>Frozen commit</w:t>
            </w:r>
          </w:p>
        </w:tc>
        <w:tc>
          <w:tcPr>
            <w:tcW w:type="dxa" w:w="6192"/>
            <w:vAlign w:val="center"/>
            <w:shd w:fill="FFFFFF"/>
          </w:tcPr>
          <w:p>
            <w:r/>
            <w:r>
              <w:rPr>
                <w:rFonts w:ascii="Aptos" w:hAnsi="Aptos"/>
                <w:b w:val="0"/>
                <w:color w:val="17202A"/>
                <w:sz w:val="16"/>
              </w:rPr>
              <w:t>d5815fd509a13cb9dd3eec28c859c79f205d3c80</w:t>
            </w:r>
          </w:p>
        </w:tc>
      </w:tr>
      <w:tr>
        <w:tc>
          <w:tcPr>
            <w:tcW w:type="dxa" w:w="3168"/>
            <w:vAlign w:val="center"/>
            <w:shd w:fill="F4F7F9"/>
          </w:tcPr>
          <w:p>
            <w:r/>
            <w:r>
              <w:rPr>
                <w:rFonts w:ascii="Aptos" w:hAnsi="Aptos"/>
                <w:b w:val="0"/>
                <w:color w:val="17202A"/>
                <w:sz w:val="16"/>
              </w:rPr>
              <w:t>Release tag</w:t>
            </w:r>
          </w:p>
        </w:tc>
        <w:tc>
          <w:tcPr>
            <w:tcW w:type="dxa" w:w="6192"/>
            <w:vAlign w:val="center"/>
            <w:shd w:fill="F4F7F9"/>
          </w:tcPr>
          <w:p>
            <w:pPr>
              <w:jc w:val="center"/>
            </w:pPr>
            <w:r/>
            <w:r>
              <w:rPr>
                <w:rFonts w:ascii="Aptos" w:hAnsi="Aptos"/>
                <w:b w:val="0"/>
                <w:color w:val="17202A"/>
                <w:sz w:val="16"/>
              </w:rPr>
              <w:t>rc-v1.0-final</w:t>
            </w:r>
          </w:p>
        </w:tc>
      </w:tr>
      <w:tr>
        <w:tc>
          <w:tcPr>
            <w:tcW w:type="dxa" w:w="3168"/>
            <w:vAlign w:val="center"/>
            <w:shd w:fill="FFFFFF"/>
          </w:tcPr>
          <w:p>
            <w:r/>
            <w:r>
              <w:rPr>
                <w:rFonts w:ascii="Aptos" w:hAnsi="Aptos"/>
                <w:b w:val="0"/>
                <w:color w:val="17202A"/>
                <w:sz w:val="16"/>
              </w:rPr>
              <w:t>Manifest SHA-256</w:t>
            </w:r>
          </w:p>
        </w:tc>
        <w:tc>
          <w:tcPr>
            <w:tcW w:type="dxa" w:w="6192"/>
            <w:vAlign w:val="center"/>
            <w:shd w:fill="FFFFFF"/>
          </w:tcPr>
          <w:p>
            <w:r/>
            <w:r>
              <w:rPr>
                <w:rFonts w:ascii="Aptos" w:hAnsi="Aptos"/>
                <w:b w:val="0"/>
                <w:color w:val="17202A"/>
                <w:sz w:val="16"/>
              </w:rPr>
              <w:t>45CAC02D759FAC6B67C5B738A26B5BD23E4C3294EB3E4CC10000D4FC029B3F45</w:t>
            </w:r>
          </w:p>
        </w:tc>
      </w:tr>
      <w:tr>
        <w:tc>
          <w:tcPr>
            <w:tcW w:type="dxa" w:w="3168"/>
            <w:vAlign w:val="center"/>
            <w:shd w:fill="F4F7F9"/>
          </w:tcPr>
          <w:p>
            <w:r/>
            <w:r>
              <w:rPr>
                <w:rFonts w:ascii="Aptos" w:hAnsi="Aptos"/>
                <w:b w:val="0"/>
                <w:color w:val="17202A"/>
                <w:sz w:val="16"/>
              </w:rPr>
              <w:t>Run name</w:t>
            </w:r>
          </w:p>
        </w:tc>
        <w:tc>
          <w:tcPr>
            <w:tcW w:type="dxa" w:w="6192"/>
            <w:vAlign w:val="center"/>
            <w:shd w:fill="F4F7F9"/>
          </w:tcPr>
          <w:p>
            <w:r/>
            <w:r>
              <w:rPr>
                <w:rFonts w:ascii="Aptos" w:hAnsi="Aptos"/>
                <w:b w:val="0"/>
                <w:color w:val="17202A"/>
                <w:sz w:val="16"/>
              </w:rPr>
              <w:t>benchmark-125-d5815fd-20260718T155134Z</w:t>
            </w:r>
          </w:p>
        </w:tc>
      </w:tr>
      <w:tr>
        <w:tc>
          <w:tcPr>
            <w:tcW w:type="dxa" w:w="3168"/>
            <w:vAlign w:val="center"/>
            <w:shd w:fill="FFFFFF"/>
          </w:tcPr>
          <w:p>
            <w:r/>
            <w:r>
              <w:rPr>
                <w:rFonts w:ascii="Aptos" w:hAnsi="Aptos"/>
                <w:b w:val="0"/>
                <w:color w:val="17202A"/>
                <w:sz w:val="16"/>
              </w:rPr>
              <w:t>Concurrency</w:t>
            </w:r>
          </w:p>
        </w:tc>
        <w:tc>
          <w:tcPr>
            <w:tcW w:type="dxa" w:w="6192"/>
            <w:vAlign w:val="center"/>
            <w:shd w:fill="FFFFFF"/>
          </w:tcPr>
          <w:p>
            <w:pPr>
              <w:jc w:val="center"/>
            </w:pPr>
            <w:r/>
            <w:r>
              <w:rPr>
                <w:rFonts w:ascii="Aptos" w:hAnsi="Aptos"/>
                <w:b w:val="0"/>
                <w:color w:val="17202A"/>
                <w:sz w:val="16"/>
              </w:rPr>
              <w:t>1</w:t>
            </w:r>
          </w:p>
        </w:tc>
      </w:tr>
      <w:tr>
        <w:tc>
          <w:tcPr>
            <w:tcW w:type="dxa" w:w="3168"/>
            <w:vAlign w:val="center"/>
            <w:shd w:fill="F4F7F9"/>
          </w:tcPr>
          <w:p>
            <w:r/>
            <w:r>
              <w:rPr>
                <w:rFonts w:ascii="Aptos" w:hAnsi="Aptos"/>
                <w:b w:val="0"/>
                <w:color w:val="17202A"/>
                <w:sz w:val="16"/>
              </w:rPr>
              <w:t>Scenario timeout</w:t>
            </w:r>
          </w:p>
        </w:tc>
        <w:tc>
          <w:tcPr>
            <w:tcW w:type="dxa" w:w="6192"/>
            <w:vAlign w:val="center"/>
            <w:shd w:fill="F4F7F9"/>
          </w:tcPr>
          <w:p>
            <w:pPr>
              <w:jc w:val="center"/>
            </w:pPr>
            <w:r/>
            <w:r>
              <w:rPr>
                <w:rFonts w:ascii="Aptos" w:hAnsi="Aptos"/>
                <w:b w:val="0"/>
                <w:color w:val="17202A"/>
                <w:sz w:val="16"/>
              </w:rPr>
              <w:t>600 seconds</w:t>
            </w:r>
          </w:p>
        </w:tc>
      </w:tr>
      <w:tr>
        <w:tc>
          <w:tcPr>
            <w:tcW w:type="dxa" w:w="3168"/>
            <w:vAlign w:val="center"/>
            <w:shd w:fill="FFFFFF"/>
          </w:tcPr>
          <w:p>
            <w:r/>
            <w:r>
              <w:rPr>
                <w:rFonts w:ascii="Aptos" w:hAnsi="Aptos"/>
                <w:b w:val="0"/>
                <w:color w:val="17202A"/>
                <w:sz w:val="16"/>
              </w:rPr>
              <w:t>Reasoning / judge model</w:t>
            </w:r>
          </w:p>
        </w:tc>
        <w:tc>
          <w:tcPr>
            <w:tcW w:type="dxa" w:w="6192"/>
            <w:vAlign w:val="center"/>
            <w:shd w:fill="FFFFFF"/>
          </w:tcPr>
          <w:p>
            <w:r/>
            <w:r>
              <w:rPr>
                <w:rFonts w:ascii="Aptos" w:hAnsi="Aptos"/>
                <w:b w:val="0"/>
                <w:color w:val="17202A"/>
                <w:sz w:val="16"/>
              </w:rPr>
              <w:t>gpt-4.1-mini / gpt-4.1-mini</w:t>
            </w:r>
          </w:p>
        </w:tc>
      </w:tr>
      <w:tr>
        <w:tc>
          <w:tcPr>
            <w:tcW w:type="dxa" w:w="3168"/>
            <w:vAlign w:val="center"/>
            <w:shd w:fill="F4F7F9"/>
          </w:tcPr>
          <w:p>
            <w:r/>
            <w:r>
              <w:rPr>
                <w:rFonts w:ascii="Aptos" w:hAnsi="Aptos"/>
                <w:b w:val="0"/>
                <w:color w:val="17202A"/>
                <w:sz w:val="16"/>
              </w:rPr>
              <w:t>Database engine / host</w:t>
            </w:r>
          </w:p>
        </w:tc>
        <w:tc>
          <w:tcPr>
            <w:tcW w:type="dxa" w:w="6192"/>
            <w:vAlign w:val="center"/>
            <w:shd w:fill="F4F7F9"/>
          </w:tcPr>
          <w:p>
            <w:pPr>
              <w:jc w:val="center"/>
            </w:pPr>
            <w:r/>
            <w:r>
              <w:rPr>
                <w:rFonts w:ascii="Aptos" w:hAnsi="Aptos"/>
                <w:b w:val="0"/>
                <w:color w:val="17202A"/>
                <w:sz w:val="16"/>
              </w:rPr>
              <w:t>MySQL / 127.0.0.1</w:t>
            </w:r>
          </w:p>
        </w:tc>
      </w:tr>
      <w:tr>
        <w:tc>
          <w:tcPr>
            <w:tcW w:type="dxa" w:w="3168"/>
            <w:vAlign w:val="center"/>
            <w:shd w:fill="FFFFFF"/>
          </w:tcPr>
          <w:p>
            <w:r/>
            <w:r>
              <w:rPr>
                <w:rFonts w:ascii="Aptos" w:hAnsi="Aptos"/>
                <w:b w:val="0"/>
                <w:color w:val="17202A"/>
                <w:sz w:val="16"/>
              </w:rPr>
              <w:t>Requested / started / terminal / incomplete</w:t>
            </w:r>
          </w:p>
        </w:tc>
        <w:tc>
          <w:tcPr>
            <w:tcW w:type="dxa" w:w="6192"/>
            <w:vAlign w:val="center"/>
            <w:shd w:fill="FFFFFF"/>
          </w:tcPr>
          <w:p>
            <w:pPr>
              <w:jc w:val="center"/>
            </w:pPr>
            <w:r/>
            <w:r>
              <w:rPr>
                <w:rFonts w:ascii="Aptos" w:hAnsi="Aptos"/>
                <w:b w:val="0"/>
                <w:color w:val="17202A"/>
                <w:sz w:val="16"/>
              </w:rPr>
              <w:t>125 / 125 / 125 / 0</w:t>
            </w:r>
          </w:p>
        </w:tc>
      </w:tr>
      <w:tr>
        <w:tc>
          <w:tcPr>
            <w:tcW w:type="dxa" w:w="3168"/>
            <w:vAlign w:val="center"/>
            <w:shd w:fill="F4F7F9"/>
          </w:tcPr>
          <w:p>
            <w:r/>
            <w:r>
              <w:rPr>
                <w:rFonts w:ascii="Aptos" w:hAnsi="Aptos"/>
                <w:b w:val="0"/>
                <w:color w:val="17202A"/>
                <w:sz w:val="16"/>
              </w:rPr>
              <w:t>Cleanup / post-run fixture audit</w:t>
            </w:r>
          </w:p>
        </w:tc>
        <w:tc>
          <w:tcPr>
            <w:tcW w:type="dxa" w:w="6192"/>
            <w:vAlign w:val="center"/>
            <w:shd w:fill="F4F7F9"/>
          </w:tcPr>
          <w:p>
            <w:pPr>
              <w:jc w:val="center"/>
            </w:pPr>
            <w:r/>
            <w:r>
              <w:rPr>
                <w:rFonts w:ascii="Aptos" w:hAnsi="Aptos"/>
                <w:b w:val="0"/>
                <w:color w:val="17202A"/>
                <w:sz w:val="16"/>
              </w:rPr>
              <w:t>125/125 / 125/125 valid</w:t>
            </w:r>
          </w:p>
        </w:tc>
      </w:tr>
    </w:tbl>
    <w:p/>
    <w:p>
      <w:pPr>
        <w:pStyle w:val="Heading2"/>
      </w:pPr>
      <w:r>
        <w:t>5.1 Evaluation definitions</w:t>
      </w:r>
    </w:p>
    <w:p>
      <w:r>
        <w:t>Strict pass uses all requested scenarios: PASS/125. Conditional application accuracy uses deterministic passes among usable AI answers eligible for deterministic validation: 48/51. Provider failures, evidence-insufficient cases, and judge failures remain in strict reliability accounting but are not all eligible for conditional accuracy. AI Judge scores are secondary semantic measurements, not ground truth.</w:t>
      </w:r>
    </w:p>
    <w:p>
      <w:pPr>
        <w:pStyle w:val="Caption"/>
      </w:pPr>
      <w:r>
        <w:rPr>
          <w:b/>
        </w:rPr>
        <w:t>Table 6. AI Judge dimensions</w:t>
      </w:r>
    </w:p>
    <w:tbl>
      <w:tblPr>
        <w:tblW w:type="auto" w:w="0"/>
        <w:jc w:val="center"/>
        <w:tblLayout w:type="fixed"/>
        <w:tblLook w:firstColumn="1" w:firstRow="1" w:lastColumn="0" w:lastRow="0" w:noHBand="0" w:noVBand="1" w:val="04A0"/>
      </w:tblPr>
      <w:tblGrid>
        <w:gridCol w:w="4680"/>
        <w:gridCol w:w="4680"/>
      </w:tblGrid>
      <w:tr>
        <w:tc>
          <w:tcPr>
            <w:tcW w:type="dxa" w:w="6624"/>
            <w:vAlign w:val="center"/>
            <w:shd w:fill="17324D"/>
          </w:tcPr>
          <w:p>
            <w:pPr>
              <w:jc w:val="center"/>
            </w:pPr>
            <w:r/>
            <w:r>
              <w:rPr>
                <w:rFonts w:ascii="Aptos" w:hAnsi="Aptos"/>
                <w:b/>
                <w:color w:val="FFFFFF"/>
                <w:sz w:val="16"/>
              </w:rPr>
              <w:t>Dimension</w:t>
            </w:r>
          </w:p>
        </w:tc>
        <w:tc>
          <w:tcPr>
            <w:tcW w:type="dxa" w:w="2736"/>
            <w:vAlign w:val="center"/>
            <w:shd w:fill="17324D"/>
          </w:tcPr>
          <w:p>
            <w:pPr>
              <w:jc w:val="center"/>
            </w:pPr>
            <w:r/>
            <w:r>
              <w:rPr>
                <w:rFonts w:ascii="Aptos" w:hAnsi="Aptos"/>
                <w:b/>
                <w:color w:val="FFFFFF"/>
                <w:sz w:val="16"/>
              </w:rPr>
              <w:t>Weight</w:t>
            </w:r>
          </w:p>
        </w:tc>
      </w:tr>
      <w:tr>
        <w:tc>
          <w:tcPr>
            <w:tcW w:type="dxa" w:w="6624"/>
            <w:vAlign w:val="center"/>
            <w:shd w:fill="FFFFFF"/>
          </w:tcPr>
          <w:p>
            <w:r/>
            <w:r>
              <w:rPr>
                <w:rFonts w:ascii="Aptos" w:hAnsi="Aptos"/>
                <w:b w:val="0"/>
                <w:color w:val="17202A"/>
                <w:sz w:val="16"/>
              </w:rPr>
              <w:t>Root-cause correctness</w:t>
            </w:r>
          </w:p>
        </w:tc>
        <w:tc>
          <w:tcPr>
            <w:tcW w:type="dxa" w:w="2736"/>
            <w:vAlign w:val="center"/>
            <w:shd w:fill="FFFFFF"/>
          </w:tcPr>
          <w:p>
            <w:pPr>
              <w:jc w:val="center"/>
            </w:pPr>
            <w:r/>
            <w:r>
              <w:rPr>
                <w:rFonts w:ascii="Aptos" w:hAnsi="Aptos"/>
                <w:b w:val="0"/>
                <w:color w:val="17202A"/>
                <w:sz w:val="16"/>
              </w:rPr>
              <w:t>30%</w:t>
            </w:r>
          </w:p>
        </w:tc>
      </w:tr>
      <w:tr>
        <w:tc>
          <w:tcPr>
            <w:tcW w:type="dxa" w:w="6624"/>
            <w:vAlign w:val="center"/>
            <w:shd w:fill="F4F7F9"/>
          </w:tcPr>
          <w:p>
            <w:r/>
            <w:r>
              <w:rPr>
                <w:rFonts w:ascii="Aptos" w:hAnsi="Aptos"/>
                <w:b w:val="0"/>
                <w:color w:val="17202A"/>
                <w:sz w:val="16"/>
              </w:rPr>
              <w:t>Evidence correctness</w:t>
            </w:r>
          </w:p>
        </w:tc>
        <w:tc>
          <w:tcPr>
            <w:tcW w:type="dxa" w:w="2736"/>
            <w:vAlign w:val="center"/>
            <w:shd w:fill="F4F7F9"/>
          </w:tcPr>
          <w:p>
            <w:pPr>
              <w:jc w:val="center"/>
            </w:pPr>
            <w:r/>
            <w:r>
              <w:rPr>
                <w:rFonts w:ascii="Aptos" w:hAnsi="Aptos"/>
                <w:b w:val="0"/>
                <w:color w:val="17202A"/>
                <w:sz w:val="16"/>
              </w:rPr>
              <w:t>25%</w:t>
            </w:r>
          </w:p>
        </w:tc>
      </w:tr>
      <w:tr>
        <w:tc>
          <w:tcPr>
            <w:tcW w:type="dxa" w:w="6624"/>
            <w:vAlign w:val="center"/>
            <w:shd w:fill="FFFFFF"/>
          </w:tcPr>
          <w:p>
            <w:r/>
            <w:r>
              <w:rPr>
                <w:rFonts w:ascii="Aptos" w:hAnsi="Aptos"/>
                <w:b w:val="0"/>
                <w:color w:val="17202A"/>
                <w:sz w:val="16"/>
              </w:rPr>
              <w:t>Database-object discovery</w:t>
            </w:r>
          </w:p>
        </w:tc>
        <w:tc>
          <w:tcPr>
            <w:tcW w:type="dxa" w:w="2736"/>
            <w:vAlign w:val="center"/>
            <w:shd w:fill="FFFFFF"/>
          </w:tcPr>
          <w:p>
            <w:pPr>
              <w:jc w:val="center"/>
            </w:pPr>
            <w:r/>
            <w:r>
              <w:rPr>
                <w:rFonts w:ascii="Aptos" w:hAnsi="Aptos"/>
                <w:b w:val="0"/>
                <w:color w:val="17202A"/>
                <w:sz w:val="16"/>
              </w:rPr>
              <w:t>10%</w:t>
            </w:r>
          </w:p>
        </w:tc>
      </w:tr>
      <w:tr>
        <w:tc>
          <w:tcPr>
            <w:tcW w:type="dxa" w:w="6624"/>
            <w:vAlign w:val="center"/>
            <w:shd w:fill="F4F7F9"/>
          </w:tcPr>
          <w:p>
            <w:r/>
            <w:r>
              <w:rPr>
                <w:rFonts w:ascii="Aptos" w:hAnsi="Aptos"/>
                <w:b w:val="0"/>
                <w:color w:val="17202A"/>
                <w:sz w:val="16"/>
              </w:rPr>
              <w:t>Fix correctness</w:t>
            </w:r>
          </w:p>
        </w:tc>
        <w:tc>
          <w:tcPr>
            <w:tcW w:type="dxa" w:w="2736"/>
            <w:vAlign w:val="center"/>
            <w:shd w:fill="F4F7F9"/>
          </w:tcPr>
          <w:p>
            <w:pPr>
              <w:jc w:val="center"/>
            </w:pPr>
            <w:r/>
            <w:r>
              <w:rPr>
                <w:rFonts w:ascii="Aptos" w:hAnsi="Aptos"/>
                <w:b w:val="0"/>
                <w:color w:val="17202A"/>
                <w:sz w:val="16"/>
              </w:rPr>
              <w:t>10%</w:t>
            </w:r>
          </w:p>
        </w:tc>
      </w:tr>
      <w:tr>
        <w:tc>
          <w:tcPr>
            <w:tcW w:type="dxa" w:w="6624"/>
            <w:vAlign w:val="center"/>
            <w:shd w:fill="FFFFFF"/>
          </w:tcPr>
          <w:p>
            <w:r/>
            <w:r>
              <w:rPr>
                <w:rFonts w:ascii="Aptos" w:hAnsi="Aptos"/>
                <w:b w:val="0"/>
                <w:color w:val="17202A"/>
                <w:sz w:val="16"/>
              </w:rPr>
              <w:t>Citation correctness</w:t>
            </w:r>
          </w:p>
        </w:tc>
        <w:tc>
          <w:tcPr>
            <w:tcW w:type="dxa" w:w="2736"/>
            <w:vAlign w:val="center"/>
            <w:shd w:fill="FFFFFF"/>
          </w:tcPr>
          <w:p>
            <w:pPr>
              <w:jc w:val="center"/>
            </w:pPr>
            <w:r/>
            <w:r>
              <w:rPr>
                <w:rFonts w:ascii="Aptos" w:hAnsi="Aptos"/>
                <w:b w:val="0"/>
                <w:color w:val="17202A"/>
                <w:sz w:val="16"/>
              </w:rPr>
              <w:t>10%</w:t>
            </w:r>
          </w:p>
        </w:tc>
      </w:tr>
      <w:tr>
        <w:tc>
          <w:tcPr>
            <w:tcW w:type="dxa" w:w="6624"/>
            <w:vAlign w:val="center"/>
            <w:shd w:fill="F4F7F9"/>
          </w:tcPr>
          <w:p>
            <w:r/>
            <w:r>
              <w:rPr>
                <w:rFonts w:ascii="Aptos" w:hAnsi="Aptos"/>
                <w:b w:val="0"/>
                <w:color w:val="17202A"/>
                <w:sz w:val="16"/>
              </w:rPr>
              <w:t>Safety</w:t>
            </w:r>
          </w:p>
        </w:tc>
        <w:tc>
          <w:tcPr>
            <w:tcW w:type="dxa" w:w="2736"/>
            <w:vAlign w:val="center"/>
            <w:shd w:fill="F4F7F9"/>
          </w:tcPr>
          <w:p>
            <w:pPr>
              <w:jc w:val="center"/>
            </w:pPr>
            <w:r/>
            <w:r>
              <w:rPr>
                <w:rFonts w:ascii="Aptos" w:hAnsi="Aptos"/>
                <w:b w:val="0"/>
                <w:color w:val="17202A"/>
                <w:sz w:val="16"/>
              </w:rPr>
              <w:t>10%</w:t>
            </w:r>
          </w:p>
        </w:tc>
      </w:tr>
      <w:tr>
        <w:tc>
          <w:tcPr>
            <w:tcW w:type="dxa" w:w="6624"/>
            <w:vAlign w:val="center"/>
            <w:shd w:fill="FFFFFF"/>
          </w:tcPr>
          <w:p>
            <w:r/>
            <w:r>
              <w:rPr>
                <w:rFonts w:ascii="Aptos" w:hAnsi="Aptos"/>
                <w:b w:val="0"/>
                <w:color w:val="17202A"/>
                <w:sz w:val="16"/>
              </w:rPr>
              <w:t>Completeness</w:t>
            </w:r>
          </w:p>
        </w:tc>
        <w:tc>
          <w:tcPr>
            <w:tcW w:type="dxa" w:w="2736"/>
            <w:vAlign w:val="center"/>
            <w:shd w:fill="FFFFFF"/>
          </w:tcPr>
          <w:p>
            <w:pPr>
              <w:jc w:val="center"/>
            </w:pPr>
            <w:r/>
            <w:r>
              <w:rPr>
                <w:rFonts w:ascii="Aptos" w:hAnsi="Aptos"/>
                <w:b w:val="0"/>
                <w:color w:val="17202A"/>
                <w:sz w:val="16"/>
              </w:rPr>
              <w:t>5%</w:t>
            </w:r>
          </w:p>
        </w:tc>
      </w:tr>
    </w:tbl>
    <w:p/>
    <w:p>
      <w:pPr>
        <w:pStyle w:val="Heading1"/>
      </w:pPr>
      <w:r>
        <w:t>6. Results</w:t>
      </w:r>
    </w:p>
    <w:p>
      <w:r>
        <w:t>The strict pass rate was 46/125 = 36.8% (95% Wilson CI 28.9%–45.5%). Conditional application accuracy was 48/51 = 94.12% (95% Wilson CI 84.1%–98.0%). The usable-answer rate was 51/125 = 40.8%. Figure 5 deliberately uses distinct denominators.</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943600" cy="3343275"/>
                    </a:xfrm>
                    <a:prstGeom prst="rect"/>
                  </pic:spPr>
                </pic:pic>
              </a:graphicData>
            </a:graphic>
          </wp:inline>
        </w:drawing>
      </w:r>
    </w:p>
    <w:p>
      <w:pPr>
        <w:pStyle w:val="Caption"/>
        <w:jc w:val="center"/>
      </w:pPr>
      <w:r>
        <w:rPr>
          <w:b/>
        </w:rPr>
        <w:t>Figure 5. Application accuracy, strict pass rate, and provider failures with denominators.</w:t>
      </w:r>
    </w:p>
    <w:p>
      <w:pPr>
        <w:jc w:val="center"/>
      </w:pPr>
      <w:r>
        <w:rPr>
          <w:i/>
          <w:sz w:val="16"/>
        </w:rPr>
        <w:t>Source: Created from the verified system implementation and frozen benchmark artifacts.</w:t>
      </w:r>
    </w:p>
    <w:p>
      <w:pPr>
        <w:pStyle w:val="Caption"/>
      </w:pPr>
      <w:r>
        <w:rPr>
          <w:b/>
        </w:rPr>
        <w:t>Table 7. Overall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176"/>
            <w:vAlign w:val="center"/>
            <w:shd w:fill="17324D"/>
          </w:tcPr>
          <w:p>
            <w:pPr>
              <w:jc w:val="center"/>
            </w:pPr>
            <w:r/>
            <w:r>
              <w:rPr>
                <w:rFonts w:ascii="Aptos" w:hAnsi="Aptos"/>
                <w:b/>
                <w:color w:val="FFFFFF"/>
                <w:sz w:val="16"/>
              </w:rPr>
              <w:t>Measure</w:t>
            </w:r>
          </w:p>
        </w:tc>
        <w:tc>
          <w:tcPr>
            <w:tcW w:type="dxa" w:w="1584"/>
            <w:vAlign w:val="center"/>
            <w:shd w:fill="17324D"/>
          </w:tcPr>
          <w:p>
            <w:pPr>
              <w:jc w:val="center"/>
            </w:pPr>
            <w:r/>
            <w:r>
              <w:rPr>
                <w:rFonts w:ascii="Aptos" w:hAnsi="Aptos"/>
                <w:b/>
                <w:color w:val="FFFFFF"/>
                <w:sz w:val="16"/>
              </w:rPr>
              <w:t>Numerator</w:t>
            </w:r>
          </w:p>
        </w:tc>
        <w:tc>
          <w:tcPr>
            <w:tcW w:type="dxa" w:w="1728"/>
            <w:vAlign w:val="center"/>
            <w:shd w:fill="17324D"/>
          </w:tcPr>
          <w:p>
            <w:pPr>
              <w:jc w:val="center"/>
            </w:pPr>
            <w:r/>
            <w:r>
              <w:rPr>
                <w:rFonts w:ascii="Aptos" w:hAnsi="Aptos"/>
                <w:b/>
                <w:color w:val="FFFFFF"/>
                <w:sz w:val="16"/>
              </w:rPr>
              <w:t>Denominator</w:t>
            </w:r>
          </w:p>
        </w:tc>
        <w:tc>
          <w:tcPr>
            <w:tcW w:type="dxa" w:w="2016"/>
            <w:vAlign w:val="center"/>
            <w:shd w:fill="17324D"/>
          </w:tcPr>
          <w:p>
            <w:pPr>
              <w:jc w:val="center"/>
            </w:pPr>
            <w:r/>
            <w:r>
              <w:rPr>
                <w:rFonts w:ascii="Aptos" w:hAnsi="Aptos"/>
                <w:b/>
                <w:color w:val="FFFFFF"/>
                <w:sz w:val="16"/>
              </w:rPr>
              <w:t>Value</w:t>
            </w:r>
          </w:p>
        </w:tc>
      </w:tr>
      <w:tr>
        <w:tc>
          <w:tcPr>
            <w:tcW w:type="dxa" w:w="4176"/>
            <w:vAlign w:val="center"/>
            <w:shd w:fill="FFFFFF"/>
          </w:tcPr>
          <w:p>
            <w:r/>
            <w:r>
              <w:rPr>
                <w:rFonts w:ascii="Aptos" w:hAnsi="Aptos"/>
                <w:b w:val="0"/>
                <w:color w:val="17202A"/>
                <w:sz w:val="16"/>
              </w:rPr>
              <w:t>Strict end-to-end pass</w:t>
            </w:r>
          </w:p>
        </w:tc>
        <w:tc>
          <w:tcPr>
            <w:tcW w:type="dxa" w:w="1584"/>
            <w:vAlign w:val="center"/>
            <w:shd w:fill="FFFFFF"/>
          </w:tcPr>
          <w:p>
            <w:pPr>
              <w:jc w:val="center"/>
            </w:pPr>
            <w:r/>
            <w:r>
              <w:rPr>
                <w:rFonts w:ascii="Aptos" w:hAnsi="Aptos"/>
                <w:b w:val="0"/>
                <w:color w:val="17202A"/>
                <w:sz w:val="16"/>
              </w:rPr>
              <w:t>46</w:t>
            </w:r>
          </w:p>
        </w:tc>
        <w:tc>
          <w:tcPr>
            <w:tcW w:type="dxa" w:w="1728"/>
            <w:vAlign w:val="center"/>
            <w:shd w:fill="FFFFFF"/>
          </w:tcPr>
          <w:p>
            <w:pPr>
              <w:jc w:val="center"/>
            </w:pPr>
            <w:r/>
            <w:r>
              <w:rPr>
                <w:rFonts w:ascii="Aptos" w:hAnsi="Aptos"/>
                <w:b w:val="0"/>
                <w:color w:val="17202A"/>
                <w:sz w:val="16"/>
              </w:rPr>
              <w:t>125</w:t>
            </w:r>
          </w:p>
        </w:tc>
        <w:tc>
          <w:tcPr>
            <w:tcW w:type="dxa" w:w="2016"/>
            <w:vAlign w:val="center"/>
            <w:shd w:fill="FFFFFF"/>
          </w:tcPr>
          <w:p>
            <w:pPr>
              <w:jc w:val="center"/>
            </w:pPr>
            <w:r/>
            <w:r>
              <w:rPr>
                <w:rFonts w:ascii="Aptos" w:hAnsi="Aptos"/>
                <w:b w:val="0"/>
                <w:color w:val="17202A"/>
                <w:sz w:val="16"/>
              </w:rPr>
              <w:t>36.8%</w:t>
            </w:r>
          </w:p>
        </w:tc>
      </w:tr>
      <w:tr>
        <w:tc>
          <w:tcPr>
            <w:tcW w:type="dxa" w:w="4176"/>
            <w:vAlign w:val="center"/>
            <w:shd w:fill="F4F7F9"/>
          </w:tcPr>
          <w:p>
            <w:r/>
            <w:r>
              <w:rPr>
                <w:rFonts w:ascii="Aptos" w:hAnsi="Aptos"/>
                <w:b w:val="0"/>
                <w:color w:val="17202A"/>
                <w:sz w:val="16"/>
              </w:rPr>
              <w:t>Conditional application accuracy</w:t>
            </w:r>
          </w:p>
        </w:tc>
        <w:tc>
          <w:tcPr>
            <w:tcW w:type="dxa" w:w="1584"/>
            <w:vAlign w:val="center"/>
            <w:shd w:fill="F4F7F9"/>
          </w:tcPr>
          <w:p>
            <w:pPr>
              <w:jc w:val="center"/>
            </w:pPr>
            <w:r/>
            <w:r>
              <w:rPr>
                <w:rFonts w:ascii="Aptos" w:hAnsi="Aptos"/>
                <w:b w:val="0"/>
                <w:color w:val="17202A"/>
                <w:sz w:val="16"/>
              </w:rPr>
              <w:t>48</w:t>
            </w:r>
          </w:p>
        </w:tc>
        <w:tc>
          <w:tcPr>
            <w:tcW w:type="dxa" w:w="1728"/>
            <w:vAlign w:val="center"/>
            <w:shd w:fill="F4F7F9"/>
          </w:tcPr>
          <w:p>
            <w:pPr>
              <w:jc w:val="center"/>
            </w:pPr>
            <w:r/>
            <w:r>
              <w:rPr>
                <w:rFonts w:ascii="Aptos" w:hAnsi="Aptos"/>
                <w:b w:val="0"/>
                <w:color w:val="17202A"/>
                <w:sz w:val="16"/>
              </w:rPr>
              <w:t>51</w:t>
            </w:r>
          </w:p>
        </w:tc>
        <w:tc>
          <w:tcPr>
            <w:tcW w:type="dxa" w:w="2016"/>
            <w:vAlign w:val="center"/>
            <w:shd w:fill="F4F7F9"/>
          </w:tcPr>
          <w:p>
            <w:pPr>
              <w:jc w:val="center"/>
            </w:pPr>
            <w:r/>
            <w:r>
              <w:rPr>
                <w:rFonts w:ascii="Aptos" w:hAnsi="Aptos"/>
                <w:b w:val="0"/>
                <w:color w:val="17202A"/>
                <w:sz w:val="16"/>
              </w:rPr>
              <w:t>94.12%</w:t>
            </w:r>
          </w:p>
        </w:tc>
      </w:tr>
      <w:tr>
        <w:tc>
          <w:tcPr>
            <w:tcW w:type="dxa" w:w="4176"/>
            <w:vAlign w:val="center"/>
            <w:shd w:fill="FFFFFF"/>
          </w:tcPr>
          <w:p>
            <w:r/>
            <w:r>
              <w:rPr>
                <w:rFonts w:ascii="Aptos" w:hAnsi="Aptos"/>
                <w:b w:val="0"/>
                <w:color w:val="17202A"/>
                <w:sz w:val="16"/>
              </w:rPr>
              <w:t>Usable AI-answer rate</w:t>
            </w:r>
          </w:p>
        </w:tc>
        <w:tc>
          <w:tcPr>
            <w:tcW w:type="dxa" w:w="1584"/>
            <w:vAlign w:val="center"/>
            <w:shd w:fill="FFFFFF"/>
          </w:tcPr>
          <w:p>
            <w:pPr>
              <w:jc w:val="center"/>
            </w:pPr>
            <w:r/>
            <w:r>
              <w:rPr>
                <w:rFonts w:ascii="Aptos" w:hAnsi="Aptos"/>
                <w:b w:val="0"/>
                <w:color w:val="17202A"/>
                <w:sz w:val="16"/>
              </w:rPr>
              <w:t>51</w:t>
            </w:r>
          </w:p>
        </w:tc>
        <w:tc>
          <w:tcPr>
            <w:tcW w:type="dxa" w:w="1728"/>
            <w:vAlign w:val="center"/>
            <w:shd w:fill="FFFFFF"/>
          </w:tcPr>
          <w:p>
            <w:pPr>
              <w:jc w:val="center"/>
            </w:pPr>
            <w:r/>
            <w:r>
              <w:rPr>
                <w:rFonts w:ascii="Aptos" w:hAnsi="Aptos"/>
                <w:b w:val="0"/>
                <w:color w:val="17202A"/>
                <w:sz w:val="16"/>
              </w:rPr>
              <w:t>125</w:t>
            </w:r>
          </w:p>
        </w:tc>
        <w:tc>
          <w:tcPr>
            <w:tcW w:type="dxa" w:w="2016"/>
            <w:vAlign w:val="center"/>
            <w:shd w:fill="FFFFFF"/>
          </w:tcPr>
          <w:p>
            <w:pPr>
              <w:jc w:val="center"/>
            </w:pPr>
            <w:r/>
            <w:r>
              <w:rPr>
                <w:rFonts w:ascii="Aptos" w:hAnsi="Aptos"/>
                <w:b w:val="0"/>
                <w:color w:val="17202A"/>
                <w:sz w:val="16"/>
              </w:rPr>
              <w:t>40.8%</w:t>
            </w:r>
          </w:p>
        </w:tc>
      </w:tr>
      <w:tr>
        <w:tc>
          <w:tcPr>
            <w:tcW w:type="dxa" w:w="4176"/>
            <w:vAlign w:val="center"/>
            <w:shd w:fill="F4F7F9"/>
          </w:tcPr>
          <w:p>
            <w:r/>
            <w:r>
              <w:rPr>
                <w:rFonts w:ascii="Aptos" w:hAnsi="Aptos"/>
                <w:b w:val="0"/>
                <w:color w:val="17202A"/>
                <w:sz w:val="16"/>
              </w:rPr>
              <w:t>Evidence-gate pass</w:t>
            </w:r>
          </w:p>
        </w:tc>
        <w:tc>
          <w:tcPr>
            <w:tcW w:type="dxa" w:w="1584"/>
            <w:vAlign w:val="center"/>
            <w:shd w:fill="F4F7F9"/>
          </w:tcPr>
          <w:p>
            <w:pPr>
              <w:jc w:val="center"/>
            </w:pPr>
            <w:r/>
            <w:r>
              <w:rPr>
                <w:rFonts w:ascii="Aptos" w:hAnsi="Aptos"/>
                <w:b w:val="0"/>
                <w:color w:val="17202A"/>
                <w:sz w:val="16"/>
              </w:rPr>
              <w:t>106</w:t>
            </w:r>
          </w:p>
        </w:tc>
        <w:tc>
          <w:tcPr>
            <w:tcW w:type="dxa" w:w="1728"/>
            <w:vAlign w:val="center"/>
            <w:shd w:fill="F4F7F9"/>
          </w:tcPr>
          <w:p>
            <w:pPr>
              <w:jc w:val="center"/>
            </w:pPr>
            <w:r/>
            <w:r>
              <w:rPr>
                <w:rFonts w:ascii="Aptos" w:hAnsi="Aptos"/>
                <w:b w:val="0"/>
                <w:color w:val="17202A"/>
                <w:sz w:val="16"/>
              </w:rPr>
              <w:t>125</w:t>
            </w:r>
          </w:p>
        </w:tc>
        <w:tc>
          <w:tcPr>
            <w:tcW w:type="dxa" w:w="2016"/>
            <w:vAlign w:val="center"/>
            <w:shd w:fill="F4F7F9"/>
          </w:tcPr>
          <w:p>
            <w:pPr>
              <w:jc w:val="center"/>
            </w:pPr>
            <w:r/>
            <w:r>
              <w:rPr>
                <w:rFonts w:ascii="Aptos" w:hAnsi="Aptos"/>
                <w:b w:val="0"/>
                <w:color w:val="17202A"/>
                <w:sz w:val="16"/>
              </w:rPr>
              <w:t>84.8% of all scenarios</w:t>
            </w:r>
          </w:p>
        </w:tc>
      </w:tr>
      <w:tr>
        <w:tc>
          <w:tcPr>
            <w:tcW w:type="dxa" w:w="4176"/>
            <w:vAlign w:val="center"/>
            <w:shd w:fill="FFFFFF"/>
          </w:tcPr>
          <w:p>
            <w:r/>
            <w:r>
              <w:rPr>
                <w:rFonts w:ascii="Aptos" w:hAnsi="Aptos"/>
                <w:b w:val="0"/>
                <w:color w:val="17202A"/>
                <w:sz w:val="16"/>
              </w:rPr>
              <w:t>Evidence-gate rejection</w:t>
            </w:r>
          </w:p>
        </w:tc>
        <w:tc>
          <w:tcPr>
            <w:tcW w:type="dxa" w:w="1584"/>
            <w:vAlign w:val="center"/>
            <w:shd w:fill="FFFFFF"/>
          </w:tcPr>
          <w:p>
            <w:pPr>
              <w:jc w:val="center"/>
            </w:pPr>
            <w:r/>
            <w:r>
              <w:rPr>
                <w:rFonts w:ascii="Aptos" w:hAnsi="Aptos"/>
                <w:b w:val="0"/>
                <w:color w:val="17202A"/>
                <w:sz w:val="16"/>
              </w:rPr>
              <w:t>14</w:t>
            </w:r>
          </w:p>
        </w:tc>
        <w:tc>
          <w:tcPr>
            <w:tcW w:type="dxa" w:w="1728"/>
            <w:vAlign w:val="center"/>
            <w:shd w:fill="FFFFFF"/>
          </w:tcPr>
          <w:p>
            <w:pPr>
              <w:jc w:val="center"/>
            </w:pPr>
            <w:r/>
            <w:r>
              <w:rPr>
                <w:rFonts w:ascii="Aptos" w:hAnsi="Aptos"/>
                <w:b w:val="0"/>
                <w:color w:val="17202A"/>
                <w:sz w:val="16"/>
              </w:rPr>
              <w:t>125</w:t>
            </w:r>
          </w:p>
        </w:tc>
        <w:tc>
          <w:tcPr>
            <w:tcW w:type="dxa" w:w="2016"/>
            <w:vAlign w:val="center"/>
            <w:shd w:fill="FFFFFF"/>
          </w:tcPr>
          <w:p>
            <w:pPr>
              <w:jc w:val="center"/>
            </w:pPr>
            <w:r/>
            <w:r>
              <w:rPr>
                <w:rFonts w:ascii="Aptos" w:hAnsi="Aptos"/>
                <w:b w:val="0"/>
                <w:color w:val="17202A"/>
                <w:sz w:val="16"/>
              </w:rPr>
              <w:t>11.2% of all scenarios</w:t>
            </w:r>
          </w:p>
        </w:tc>
      </w:tr>
      <w:tr>
        <w:tc>
          <w:tcPr>
            <w:tcW w:type="dxa" w:w="4176"/>
            <w:vAlign w:val="center"/>
            <w:shd w:fill="F4F7F9"/>
          </w:tcPr>
          <w:p>
            <w:r/>
            <w:r>
              <w:rPr>
                <w:rFonts w:ascii="Aptos" w:hAnsi="Aptos"/>
                <w:b w:val="0"/>
                <w:color w:val="17202A"/>
                <w:sz w:val="16"/>
              </w:rPr>
              <w:t>Other evidence-insufficient</w:t>
            </w:r>
          </w:p>
        </w:tc>
        <w:tc>
          <w:tcPr>
            <w:tcW w:type="dxa" w:w="1584"/>
            <w:vAlign w:val="center"/>
            <w:shd w:fill="F4F7F9"/>
          </w:tcPr>
          <w:p>
            <w:pPr>
              <w:jc w:val="center"/>
            </w:pPr>
            <w:r/>
            <w:r>
              <w:rPr>
                <w:rFonts w:ascii="Aptos" w:hAnsi="Aptos"/>
                <w:b w:val="0"/>
                <w:color w:val="17202A"/>
                <w:sz w:val="16"/>
              </w:rPr>
              <w:t>5</w:t>
            </w:r>
          </w:p>
        </w:tc>
        <w:tc>
          <w:tcPr>
            <w:tcW w:type="dxa" w:w="1728"/>
            <w:vAlign w:val="center"/>
            <w:shd w:fill="F4F7F9"/>
          </w:tcPr>
          <w:p>
            <w:pPr>
              <w:jc w:val="center"/>
            </w:pPr>
            <w:r/>
            <w:r>
              <w:rPr>
                <w:rFonts w:ascii="Aptos" w:hAnsi="Aptos"/>
                <w:b w:val="0"/>
                <w:color w:val="17202A"/>
                <w:sz w:val="16"/>
              </w:rPr>
              <w:t>125</w:t>
            </w:r>
          </w:p>
        </w:tc>
        <w:tc>
          <w:tcPr>
            <w:tcW w:type="dxa" w:w="2016"/>
            <w:vAlign w:val="center"/>
            <w:shd w:fill="F4F7F9"/>
          </w:tcPr>
          <w:p>
            <w:pPr>
              <w:jc w:val="center"/>
            </w:pPr>
            <w:r/>
            <w:r>
              <w:rPr>
                <w:rFonts w:ascii="Aptos" w:hAnsi="Aptos"/>
                <w:b w:val="0"/>
                <w:color w:val="17202A"/>
                <w:sz w:val="16"/>
              </w:rPr>
              <w:t>4.0% of all scenarios</w:t>
            </w:r>
          </w:p>
        </w:tc>
      </w:tr>
      <w:tr>
        <w:tc>
          <w:tcPr>
            <w:tcW w:type="dxa" w:w="4176"/>
            <w:vAlign w:val="center"/>
            <w:shd w:fill="FFFFFF"/>
          </w:tcPr>
          <w:p>
            <w:r/>
            <w:r>
              <w:rPr>
                <w:rFonts w:ascii="Aptos" w:hAnsi="Aptos"/>
                <w:b w:val="0"/>
                <w:color w:val="17202A"/>
                <w:sz w:val="16"/>
              </w:rPr>
              <w:t>Judge completion</w:t>
            </w:r>
          </w:p>
        </w:tc>
        <w:tc>
          <w:tcPr>
            <w:tcW w:type="dxa" w:w="1584"/>
            <w:vAlign w:val="center"/>
            <w:shd w:fill="FFFFFF"/>
          </w:tcPr>
          <w:p>
            <w:pPr>
              <w:jc w:val="center"/>
            </w:pPr>
            <w:r/>
            <w:r>
              <w:rPr>
                <w:rFonts w:ascii="Aptos" w:hAnsi="Aptos"/>
                <w:b w:val="0"/>
                <w:color w:val="17202A"/>
                <w:sz w:val="16"/>
              </w:rPr>
              <w:t>49</w:t>
            </w:r>
          </w:p>
        </w:tc>
        <w:tc>
          <w:tcPr>
            <w:tcW w:type="dxa" w:w="1728"/>
            <w:vAlign w:val="center"/>
            <w:shd w:fill="FFFFFF"/>
          </w:tcPr>
          <w:p>
            <w:pPr>
              <w:jc w:val="center"/>
            </w:pPr>
            <w:r/>
            <w:r>
              <w:rPr>
                <w:rFonts w:ascii="Aptos" w:hAnsi="Aptos"/>
                <w:b w:val="0"/>
                <w:color w:val="17202A"/>
                <w:sz w:val="16"/>
              </w:rPr>
              <w:t>51</w:t>
            </w:r>
          </w:p>
        </w:tc>
        <w:tc>
          <w:tcPr>
            <w:tcW w:type="dxa" w:w="2016"/>
            <w:vAlign w:val="center"/>
            <w:shd w:fill="FFFFFF"/>
          </w:tcPr>
          <w:p>
            <w:pPr>
              <w:jc w:val="center"/>
            </w:pPr>
            <w:r/>
            <w:r>
              <w:rPr>
                <w:rFonts w:ascii="Aptos" w:hAnsi="Aptos"/>
                <w:b w:val="0"/>
                <w:color w:val="17202A"/>
                <w:sz w:val="16"/>
              </w:rPr>
              <w:t>96.08%</w:t>
            </w:r>
          </w:p>
        </w:tc>
      </w:tr>
      <w:tr>
        <w:tc>
          <w:tcPr>
            <w:tcW w:type="dxa" w:w="4176"/>
            <w:vAlign w:val="center"/>
            <w:shd w:fill="F4F7F9"/>
          </w:tcPr>
          <w:p>
            <w:r/>
            <w:r>
              <w:rPr>
                <w:rFonts w:ascii="Aptos" w:hAnsi="Aptos"/>
                <w:b w:val="0"/>
                <w:color w:val="17202A"/>
                <w:sz w:val="16"/>
              </w:rPr>
              <w:t>Cleanup</w:t>
            </w:r>
          </w:p>
        </w:tc>
        <w:tc>
          <w:tcPr>
            <w:tcW w:type="dxa" w:w="1584"/>
            <w:vAlign w:val="center"/>
            <w:shd w:fill="F4F7F9"/>
          </w:tcPr>
          <w:p>
            <w:pPr>
              <w:jc w:val="center"/>
            </w:pPr>
            <w:r/>
            <w:r>
              <w:rPr>
                <w:rFonts w:ascii="Aptos" w:hAnsi="Aptos"/>
                <w:b w:val="0"/>
                <w:color w:val="17202A"/>
                <w:sz w:val="16"/>
              </w:rPr>
              <w:t>125</w:t>
            </w:r>
          </w:p>
        </w:tc>
        <w:tc>
          <w:tcPr>
            <w:tcW w:type="dxa" w:w="1728"/>
            <w:vAlign w:val="center"/>
            <w:shd w:fill="F4F7F9"/>
          </w:tcPr>
          <w:p>
            <w:pPr>
              <w:jc w:val="center"/>
            </w:pPr>
            <w:r/>
            <w:r>
              <w:rPr>
                <w:rFonts w:ascii="Aptos" w:hAnsi="Aptos"/>
                <w:b w:val="0"/>
                <w:color w:val="17202A"/>
                <w:sz w:val="16"/>
              </w:rPr>
              <w:t>125</w:t>
            </w:r>
          </w:p>
        </w:tc>
        <w:tc>
          <w:tcPr>
            <w:tcW w:type="dxa" w:w="2016"/>
            <w:vAlign w:val="center"/>
            <w:shd w:fill="F4F7F9"/>
          </w:tcPr>
          <w:p>
            <w:pPr>
              <w:jc w:val="center"/>
            </w:pPr>
            <w:r/>
            <w:r>
              <w:rPr>
                <w:rFonts w:ascii="Aptos" w:hAnsi="Aptos"/>
                <w:b w:val="0"/>
                <w:color w:val="17202A"/>
                <w:sz w:val="16"/>
              </w:rPr>
              <w:t>100%</w:t>
            </w:r>
          </w:p>
        </w:tc>
      </w:tr>
    </w:tbl>
    <w:p/>
    <w:p>
      <w:pPr>
        <w:pStyle w:val="Heading2"/>
      </w:pPr>
      <w:r>
        <w:t>6.1 Failure taxonomy</w:t>
      </w:r>
    </w:p>
    <w:p>
      <w:r>
        <w:t>Fifty-five provider failures dominate the strict outcome. They are recorded as HTTPError and PROVIDER_OTHER_FAILURE, not timeouts. Because response status was not retained, a specific cause such as rate limiting cannot be verified. Nineteen scenarios were evidence-insufficient, three were application-incorrect, and two had judge failures.</w:t>
      </w:r>
    </w:p>
    <w:p>
      <w:pPr>
        <w:jc w:val="center"/>
      </w:pPr>
      <w:r>
        <w:drawing>
          <wp:inline xmlns:a="http://schemas.openxmlformats.org/drawingml/2006/main" xmlns:pic="http://schemas.openxmlformats.org/drawingml/2006/picture">
            <wp:extent cx="5943600" cy="4643438"/>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943600" cy="4643438"/>
                    </a:xfrm>
                    <a:prstGeom prst="rect"/>
                  </pic:spPr>
                </pic:pic>
              </a:graphicData>
            </a:graphic>
          </wp:inline>
        </w:drawing>
      </w:r>
    </w:p>
    <w:p>
      <w:pPr>
        <w:pStyle w:val="Caption"/>
        <w:jc w:val="center"/>
      </w:pPr>
      <w:r>
        <w:rPr>
          <w:b/>
        </w:rPr>
        <w:t>Figure 6. Counts for every frozen primary classification.</w:t>
      </w:r>
    </w:p>
    <w:p>
      <w:pPr>
        <w:jc w:val="center"/>
      </w:pPr>
      <w:r>
        <w:rPr>
          <w:i/>
          <w:sz w:val="16"/>
        </w:rPr>
        <w:t>Source: Created from the verified system implementation and frozen benchmark artifacts.</w:t>
      </w:r>
    </w:p>
    <w:p>
      <w:pPr>
        <w:pStyle w:val="Caption"/>
      </w:pPr>
      <w:r>
        <w:rPr>
          <w:b/>
        </w:rPr>
        <w:t>Table 8. Failure taxonomy</w:t>
      </w:r>
    </w:p>
    <w:tbl>
      <w:tblPr>
        <w:tblW w:type="auto" w:w="0"/>
        <w:jc w:val="center"/>
        <w:tblLayout w:type="fixed"/>
        <w:tblLook w:firstColumn="1" w:firstRow="1" w:lastColumn="0" w:lastRow="0" w:noHBand="0" w:noVBand="1" w:val="04A0"/>
      </w:tblPr>
      <w:tblGrid>
        <w:gridCol w:w="3120"/>
        <w:gridCol w:w="3120"/>
        <w:gridCol w:w="3120"/>
      </w:tblGrid>
      <w:tr>
        <w:tc>
          <w:tcPr>
            <w:tcW w:type="dxa" w:w="3888"/>
            <w:vAlign w:val="center"/>
            <w:shd w:fill="17324D"/>
          </w:tcPr>
          <w:p>
            <w:pPr>
              <w:jc w:val="center"/>
            </w:pPr>
            <w:r/>
            <w:r>
              <w:rPr>
                <w:rFonts w:ascii="Aptos" w:hAnsi="Aptos"/>
                <w:b/>
                <w:color w:val="FFFFFF"/>
                <w:sz w:val="16"/>
              </w:rPr>
              <w:t>Classification</w:t>
            </w:r>
          </w:p>
        </w:tc>
        <w:tc>
          <w:tcPr>
            <w:tcW w:type="dxa" w:w="1440"/>
            <w:vAlign w:val="center"/>
            <w:shd w:fill="17324D"/>
          </w:tcPr>
          <w:p>
            <w:pPr>
              <w:jc w:val="center"/>
            </w:pPr>
            <w:r/>
            <w:r>
              <w:rPr>
                <w:rFonts w:ascii="Aptos" w:hAnsi="Aptos"/>
                <w:b/>
                <w:color w:val="FFFFFF"/>
                <w:sz w:val="16"/>
              </w:rPr>
              <w:t>Count</w:t>
            </w:r>
          </w:p>
        </w:tc>
        <w:tc>
          <w:tcPr>
            <w:tcW w:type="dxa" w:w="4032"/>
            <w:vAlign w:val="center"/>
            <w:shd w:fill="17324D"/>
          </w:tcPr>
          <w:p>
            <w:pPr>
              <w:jc w:val="center"/>
            </w:pPr>
            <w:r/>
            <w:r>
              <w:rPr>
                <w:rFonts w:ascii="Aptos" w:hAnsi="Aptos"/>
                <w:b/>
                <w:color w:val="FFFFFF"/>
                <w:sz w:val="16"/>
              </w:rPr>
              <w:t>Interpretation</w:t>
            </w:r>
          </w:p>
        </w:tc>
      </w:tr>
      <w:tr>
        <w:tc>
          <w:tcPr>
            <w:tcW w:type="dxa" w:w="3888"/>
            <w:vAlign w:val="center"/>
            <w:shd w:fill="FFFFFF"/>
          </w:tcPr>
          <w:p>
            <w:r/>
            <w:r>
              <w:rPr>
                <w:rFonts w:ascii="Aptos" w:hAnsi="Aptos"/>
                <w:b w:val="0"/>
                <w:color w:val="17202A"/>
                <w:sz w:val="16"/>
              </w:rPr>
              <w:t>PASS</w:t>
            </w:r>
          </w:p>
        </w:tc>
        <w:tc>
          <w:tcPr>
            <w:tcW w:type="dxa" w:w="1440"/>
            <w:vAlign w:val="center"/>
            <w:shd w:fill="FFFFFF"/>
          </w:tcPr>
          <w:p>
            <w:pPr>
              <w:jc w:val="center"/>
            </w:pPr>
            <w:r/>
            <w:r>
              <w:rPr>
                <w:rFonts w:ascii="Aptos" w:hAnsi="Aptos"/>
                <w:b w:val="0"/>
                <w:color w:val="17202A"/>
                <w:sz w:val="16"/>
              </w:rPr>
              <w:t>46</w:t>
            </w:r>
          </w:p>
        </w:tc>
        <w:tc>
          <w:tcPr>
            <w:tcW w:type="dxa" w:w="4032"/>
            <w:vAlign w:val="center"/>
            <w:shd w:fill="FFFFFF"/>
          </w:tcPr>
          <w:p>
            <w:r/>
            <w:r>
              <w:rPr>
                <w:rFonts w:ascii="Aptos" w:hAnsi="Aptos"/>
                <w:b w:val="0"/>
                <w:color w:val="17202A"/>
                <w:sz w:val="16"/>
              </w:rPr>
              <w:t>Primary frozen classification</w:t>
            </w:r>
          </w:p>
        </w:tc>
      </w:tr>
      <w:tr>
        <w:tc>
          <w:tcPr>
            <w:tcW w:type="dxa" w:w="3888"/>
            <w:vAlign w:val="center"/>
            <w:shd w:fill="F4F7F9"/>
          </w:tcPr>
          <w:p>
            <w:r/>
            <w:r>
              <w:rPr>
                <w:rFonts w:ascii="Aptos" w:hAnsi="Aptos"/>
                <w:b w:val="0"/>
                <w:color w:val="17202A"/>
                <w:sz w:val="16"/>
              </w:rPr>
              <w:t>APPLICATION_INCORRECT</w:t>
            </w:r>
          </w:p>
        </w:tc>
        <w:tc>
          <w:tcPr>
            <w:tcW w:type="dxa" w:w="1440"/>
            <w:vAlign w:val="center"/>
            <w:shd w:fill="F4F7F9"/>
          </w:tcPr>
          <w:p>
            <w:pPr>
              <w:jc w:val="center"/>
            </w:pPr>
            <w:r/>
            <w:r>
              <w:rPr>
                <w:rFonts w:ascii="Aptos" w:hAnsi="Aptos"/>
                <w:b w:val="0"/>
                <w:color w:val="17202A"/>
                <w:sz w:val="16"/>
              </w:rPr>
              <w:t>3</w:t>
            </w:r>
          </w:p>
        </w:tc>
        <w:tc>
          <w:tcPr>
            <w:tcW w:type="dxa" w:w="4032"/>
            <w:vAlign w:val="center"/>
            <w:shd w:fill="F4F7F9"/>
          </w:tcPr>
          <w:p>
            <w:r/>
            <w:r>
              <w:rPr>
                <w:rFonts w:ascii="Aptos" w:hAnsi="Aptos"/>
                <w:b w:val="0"/>
                <w:color w:val="17202A"/>
                <w:sz w:val="16"/>
              </w:rPr>
              <w:t>Primary frozen classification</w:t>
            </w:r>
          </w:p>
        </w:tc>
      </w:tr>
      <w:tr>
        <w:tc>
          <w:tcPr>
            <w:tcW w:type="dxa" w:w="3888"/>
            <w:vAlign w:val="center"/>
            <w:shd w:fill="FFFFFF"/>
          </w:tcPr>
          <w:p>
            <w:r/>
            <w:r>
              <w:rPr>
                <w:rFonts w:ascii="Aptos" w:hAnsi="Aptos"/>
                <w:b w:val="0"/>
                <w:color w:val="17202A"/>
                <w:sz w:val="16"/>
              </w:rPr>
              <w:t>EVIDENCE_INSUFFICIENT</w:t>
            </w:r>
          </w:p>
        </w:tc>
        <w:tc>
          <w:tcPr>
            <w:tcW w:type="dxa" w:w="1440"/>
            <w:vAlign w:val="center"/>
            <w:shd w:fill="FFFFFF"/>
          </w:tcPr>
          <w:p>
            <w:pPr>
              <w:jc w:val="center"/>
            </w:pPr>
            <w:r/>
            <w:r>
              <w:rPr>
                <w:rFonts w:ascii="Aptos" w:hAnsi="Aptos"/>
                <w:b w:val="0"/>
                <w:color w:val="17202A"/>
                <w:sz w:val="16"/>
              </w:rPr>
              <w:t>19</w:t>
            </w:r>
          </w:p>
        </w:tc>
        <w:tc>
          <w:tcPr>
            <w:tcW w:type="dxa" w:w="4032"/>
            <w:vAlign w:val="center"/>
            <w:shd w:fill="FFFFFF"/>
          </w:tcPr>
          <w:p>
            <w:r/>
            <w:r>
              <w:rPr>
                <w:rFonts w:ascii="Aptos" w:hAnsi="Aptos"/>
                <w:b w:val="0"/>
                <w:color w:val="17202A"/>
                <w:sz w:val="16"/>
              </w:rPr>
              <w:t>Primary frozen classification</w:t>
            </w:r>
          </w:p>
        </w:tc>
      </w:tr>
      <w:tr>
        <w:tc>
          <w:tcPr>
            <w:tcW w:type="dxa" w:w="3888"/>
            <w:vAlign w:val="center"/>
            <w:shd w:fill="F4F7F9"/>
          </w:tcPr>
          <w:p>
            <w:r/>
            <w:r>
              <w:rPr>
                <w:rFonts w:ascii="Aptos" w:hAnsi="Aptos"/>
                <w:b w:val="0"/>
                <w:color w:val="17202A"/>
                <w:sz w:val="16"/>
              </w:rPr>
              <w:t>UNSAFE_REMEDIATION_REJECTED</w:t>
            </w:r>
          </w:p>
        </w:tc>
        <w:tc>
          <w:tcPr>
            <w:tcW w:type="dxa" w:w="1440"/>
            <w:vAlign w:val="center"/>
            <w:shd w:fill="F4F7F9"/>
          </w:tcPr>
          <w:p>
            <w:pPr>
              <w:jc w:val="center"/>
            </w:pPr>
            <w:r/>
            <w:r>
              <w:rPr>
                <w:rFonts w:ascii="Aptos" w:hAnsi="Aptos"/>
                <w:b w:val="0"/>
                <w:color w:val="17202A"/>
                <w:sz w:val="16"/>
              </w:rPr>
              <w:t>0</w:t>
            </w:r>
          </w:p>
        </w:tc>
        <w:tc>
          <w:tcPr>
            <w:tcW w:type="dxa" w:w="4032"/>
            <w:vAlign w:val="center"/>
            <w:shd w:fill="F4F7F9"/>
          </w:tcPr>
          <w:p>
            <w:r/>
            <w:r>
              <w:rPr>
                <w:rFonts w:ascii="Aptos" w:hAnsi="Aptos"/>
                <w:b w:val="0"/>
                <w:color w:val="17202A"/>
                <w:sz w:val="16"/>
              </w:rPr>
              <w:t>Primary frozen classification</w:t>
            </w:r>
          </w:p>
        </w:tc>
      </w:tr>
      <w:tr>
        <w:tc>
          <w:tcPr>
            <w:tcW w:type="dxa" w:w="3888"/>
            <w:vAlign w:val="center"/>
            <w:shd w:fill="FFFFFF"/>
          </w:tcPr>
          <w:p>
            <w:r/>
            <w:r>
              <w:rPr>
                <w:rFonts w:ascii="Aptos" w:hAnsi="Aptos"/>
                <w:b w:val="0"/>
                <w:color w:val="17202A"/>
                <w:sz w:val="16"/>
              </w:rPr>
              <w:t>PROVIDER_TIMEOUT</w:t>
            </w:r>
          </w:p>
        </w:tc>
        <w:tc>
          <w:tcPr>
            <w:tcW w:type="dxa" w:w="1440"/>
            <w:vAlign w:val="center"/>
            <w:shd w:fill="FFFFFF"/>
          </w:tcPr>
          <w:p>
            <w:pPr>
              <w:jc w:val="center"/>
            </w:pPr>
            <w:r/>
            <w:r>
              <w:rPr>
                <w:rFonts w:ascii="Aptos" w:hAnsi="Aptos"/>
                <w:b w:val="0"/>
                <w:color w:val="17202A"/>
                <w:sz w:val="16"/>
              </w:rPr>
              <w:t>0</w:t>
            </w:r>
          </w:p>
        </w:tc>
        <w:tc>
          <w:tcPr>
            <w:tcW w:type="dxa" w:w="4032"/>
            <w:vAlign w:val="center"/>
            <w:shd w:fill="FFFFFF"/>
          </w:tcPr>
          <w:p>
            <w:r/>
            <w:r>
              <w:rPr>
                <w:rFonts w:ascii="Aptos" w:hAnsi="Aptos"/>
                <w:b w:val="0"/>
                <w:color w:val="17202A"/>
                <w:sz w:val="16"/>
              </w:rPr>
              <w:t>Primary frozen classification</w:t>
            </w:r>
          </w:p>
        </w:tc>
      </w:tr>
      <w:tr>
        <w:tc>
          <w:tcPr>
            <w:tcW w:type="dxa" w:w="3888"/>
            <w:vAlign w:val="center"/>
            <w:shd w:fill="F4F7F9"/>
          </w:tcPr>
          <w:p>
            <w:r/>
            <w:r>
              <w:rPr>
                <w:rFonts w:ascii="Aptos" w:hAnsi="Aptos"/>
                <w:b w:val="0"/>
                <w:color w:val="17202A"/>
                <w:sz w:val="16"/>
              </w:rPr>
              <w:t>PROVIDER_OTHER_FAILURE</w:t>
            </w:r>
          </w:p>
        </w:tc>
        <w:tc>
          <w:tcPr>
            <w:tcW w:type="dxa" w:w="1440"/>
            <w:vAlign w:val="center"/>
            <w:shd w:fill="F4F7F9"/>
          </w:tcPr>
          <w:p>
            <w:pPr>
              <w:jc w:val="center"/>
            </w:pPr>
            <w:r/>
            <w:r>
              <w:rPr>
                <w:rFonts w:ascii="Aptos" w:hAnsi="Aptos"/>
                <w:b w:val="0"/>
                <w:color w:val="17202A"/>
                <w:sz w:val="16"/>
              </w:rPr>
              <w:t>55</w:t>
            </w:r>
          </w:p>
        </w:tc>
        <w:tc>
          <w:tcPr>
            <w:tcW w:type="dxa" w:w="4032"/>
            <w:vAlign w:val="center"/>
            <w:shd w:fill="F4F7F9"/>
          </w:tcPr>
          <w:p>
            <w:r/>
            <w:r>
              <w:rPr>
                <w:rFonts w:ascii="Aptos" w:hAnsi="Aptos"/>
                <w:b w:val="0"/>
                <w:color w:val="17202A"/>
                <w:sz w:val="16"/>
              </w:rPr>
              <w:t>Primary frozen classification</w:t>
            </w:r>
          </w:p>
        </w:tc>
      </w:tr>
      <w:tr>
        <w:tc>
          <w:tcPr>
            <w:tcW w:type="dxa" w:w="3888"/>
            <w:vAlign w:val="center"/>
            <w:shd w:fill="FFFFFF"/>
          </w:tcPr>
          <w:p>
            <w:r/>
            <w:r>
              <w:rPr>
                <w:rFonts w:ascii="Aptos" w:hAnsi="Aptos"/>
                <w:b w:val="0"/>
                <w:color w:val="17202A"/>
                <w:sz w:val="16"/>
              </w:rPr>
              <w:t>JUDGE_FAILURE</w:t>
            </w:r>
          </w:p>
        </w:tc>
        <w:tc>
          <w:tcPr>
            <w:tcW w:type="dxa" w:w="1440"/>
            <w:vAlign w:val="center"/>
            <w:shd w:fill="FFFFFF"/>
          </w:tcPr>
          <w:p>
            <w:pPr>
              <w:jc w:val="center"/>
            </w:pPr>
            <w:r/>
            <w:r>
              <w:rPr>
                <w:rFonts w:ascii="Aptos" w:hAnsi="Aptos"/>
                <w:b w:val="0"/>
                <w:color w:val="17202A"/>
                <w:sz w:val="16"/>
              </w:rPr>
              <w:t>2</w:t>
            </w:r>
          </w:p>
        </w:tc>
        <w:tc>
          <w:tcPr>
            <w:tcW w:type="dxa" w:w="4032"/>
            <w:vAlign w:val="center"/>
            <w:shd w:fill="FFFFFF"/>
          </w:tcPr>
          <w:p>
            <w:r/>
            <w:r>
              <w:rPr>
                <w:rFonts w:ascii="Aptos" w:hAnsi="Aptos"/>
                <w:b w:val="0"/>
                <w:color w:val="17202A"/>
                <w:sz w:val="16"/>
              </w:rPr>
              <w:t>Primary frozen classification</w:t>
            </w:r>
          </w:p>
        </w:tc>
      </w:tr>
      <w:tr>
        <w:tc>
          <w:tcPr>
            <w:tcW w:type="dxa" w:w="3888"/>
            <w:vAlign w:val="center"/>
            <w:shd w:fill="F4F7F9"/>
          </w:tcPr>
          <w:p>
            <w:r/>
            <w:r>
              <w:rPr>
                <w:rFonts w:ascii="Aptos" w:hAnsi="Aptos"/>
                <w:b w:val="0"/>
                <w:color w:val="17202A"/>
                <w:sz w:val="16"/>
              </w:rPr>
              <w:t>INFRASTRUCTURE_FAILURE</w:t>
            </w:r>
          </w:p>
        </w:tc>
        <w:tc>
          <w:tcPr>
            <w:tcW w:type="dxa" w:w="1440"/>
            <w:vAlign w:val="center"/>
            <w:shd w:fill="F4F7F9"/>
          </w:tcPr>
          <w:p>
            <w:pPr>
              <w:jc w:val="center"/>
            </w:pPr>
            <w:r/>
            <w:r>
              <w:rPr>
                <w:rFonts w:ascii="Aptos" w:hAnsi="Aptos"/>
                <w:b w:val="0"/>
                <w:color w:val="17202A"/>
                <w:sz w:val="16"/>
              </w:rPr>
              <w:t>0</w:t>
            </w:r>
          </w:p>
        </w:tc>
        <w:tc>
          <w:tcPr>
            <w:tcW w:type="dxa" w:w="4032"/>
            <w:vAlign w:val="center"/>
            <w:shd w:fill="F4F7F9"/>
          </w:tcPr>
          <w:p>
            <w:r/>
            <w:r>
              <w:rPr>
                <w:rFonts w:ascii="Aptos" w:hAnsi="Aptos"/>
                <w:b w:val="0"/>
                <w:color w:val="17202A"/>
                <w:sz w:val="16"/>
              </w:rPr>
              <w:t>Primary frozen classification</w:t>
            </w:r>
          </w:p>
        </w:tc>
      </w:tr>
      <w:tr>
        <w:tc>
          <w:tcPr>
            <w:tcW w:type="dxa" w:w="3888"/>
            <w:vAlign w:val="center"/>
            <w:shd w:fill="FFFFFF"/>
          </w:tcPr>
          <w:p>
            <w:r/>
            <w:r>
              <w:rPr>
                <w:rFonts w:ascii="Aptos" w:hAnsi="Aptos"/>
                <w:b w:val="0"/>
                <w:color w:val="17202A"/>
                <w:sz w:val="16"/>
              </w:rPr>
              <w:t>BENCHMARK_OR_FIXTURE_DEFECT</w:t>
            </w:r>
          </w:p>
        </w:tc>
        <w:tc>
          <w:tcPr>
            <w:tcW w:type="dxa" w:w="1440"/>
            <w:vAlign w:val="center"/>
            <w:shd w:fill="FFFFFF"/>
          </w:tcPr>
          <w:p>
            <w:pPr>
              <w:jc w:val="center"/>
            </w:pPr>
            <w:r/>
            <w:r>
              <w:rPr>
                <w:rFonts w:ascii="Aptos" w:hAnsi="Aptos"/>
                <w:b w:val="0"/>
                <w:color w:val="17202A"/>
                <w:sz w:val="16"/>
              </w:rPr>
              <w:t>0</w:t>
            </w:r>
          </w:p>
        </w:tc>
        <w:tc>
          <w:tcPr>
            <w:tcW w:type="dxa" w:w="4032"/>
            <w:vAlign w:val="center"/>
            <w:shd w:fill="FFFFFF"/>
          </w:tcPr>
          <w:p>
            <w:r/>
            <w:r>
              <w:rPr>
                <w:rFonts w:ascii="Aptos" w:hAnsi="Aptos"/>
                <w:b w:val="0"/>
                <w:color w:val="17202A"/>
                <w:sz w:val="16"/>
              </w:rPr>
              <w:t>Primary frozen classification</w:t>
            </w:r>
          </w:p>
        </w:tc>
      </w:tr>
      <w:tr>
        <w:tc>
          <w:tcPr>
            <w:tcW w:type="dxa" w:w="3888"/>
            <w:vAlign w:val="center"/>
            <w:shd w:fill="F4F7F9"/>
          </w:tcPr>
          <w:p>
            <w:r/>
            <w:r>
              <w:rPr>
                <w:rFonts w:ascii="Aptos" w:hAnsi="Aptos"/>
                <w:b w:val="0"/>
                <w:color w:val="17202A"/>
                <w:sz w:val="16"/>
              </w:rPr>
              <w:t>CLEANUP_FAILURE</w:t>
            </w:r>
          </w:p>
        </w:tc>
        <w:tc>
          <w:tcPr>
            <w:tcW w:type="dxa" w:w="1440"/>
            <w:vAlign w:val="center"/>
            <w:shd w:fill="F4F7F9"/>
          </w:tcPr>
          <w:p>
            <w:pPr>
              <w:jc w:val="center"/>
            </w:pPr>
            <w:r/>
            <w:r>
              <w:rPr>
                <w:rFonts w:ascii="Aptos" w:hAnsi="Aptos"/>
                <w:b w:val="0"/>
                <w:color w:val="17202A"/>
                <w:sz w:val="16"/>
              </w:rPr>
              <w:t>0</w:t>
            </w:r>
          </w:p>
        </w:tc>
        <w:tc>
          <w:tcPr>
            <w:tcW w:type="dxa" w:w="4032"/>
            <w:vAlign w:val="center"/>
            <w:shd w:fill="F4F7F9"/>
          </w:tcPr>
          <w:p>
            <w:r/>
            <w:r>
              <w:rPr>
                <w:rFonts w:ascii="Aptos" w:hAnsi="Aptos"/>
                <w:b w:val="0"/>
                <w:color w:val="17202A"/>
                <w:sz w:val="16"/>
              </w:rPr>
              <w:t>Primary frozen classification</w:t>
            </w:r>
          </w:p>
        </w:tc>
      </w:tr>
    </w:tbl>
    <w:p/>
    <w:p>
      <w:pPr>
        <w:pStyle w:val="Heading2"/>
      </w:pPr>
      <w:r>
        <w:t>6.2 Domain and difficulty results</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943600" cy="3343275"/>
                    </a:xfrm>
                    <a:prstGeom prst="rect"/>
                  </pic:spPr>
                </pic:pic>
              </a:graphicData>
            </a:graphic>
          </wp:inline>
        </w:drawing>
      </w:r>
    </w:p>
    <w:p>
      <w:pPr>
        <w:pStyle w:val="Caption"/>
        <w:jc w:val="center"/>
      </w:pPr>
      <w:r>
        <w:rPr>
          <w:b/>
        </w:rPr>
        <w:t>Figure 7. Strict passes by domain; each domain denominator is 25.</w:t>
      </w:r>
    </w:p>
    <w:p>
      <w:pPr>
        <w:jc w:val="center"/>
      </w:pPr>
      <w:r>
        <w:rPr>
          <w:i/>
          <w:sz w:val="16"/>
        </w:rPr>
        <w:t>Source: Created from the verified system implementation and frozen benchmark artifacts.</w:t>
      </w:r>
    </w:p>
    <w:p>
      <w:pPr>
        <w:pStyle w:val="Caption"/>
      </w:pPr>
      <w:r>
        <w:rPr>
          <w:b/>
        </w:rPr>
        <w:t>Table 9. Domain-level outcomes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vAlign w:val="center"/>
            <w:shd w:fill="17324D"/>
          </w:tcPr>
          <w:p>
            <w:pPr>
              <w:jc w:val="center"/>
            </w:pPr>
            <w:r/>
            <w:r>
              <w:rPr>
                <w:rFonts w:ascii="Aptos" w:hAnsi="Aptos"/>
                <w:b/>
                <w:color w:val="FFFFFF"/>
                <w:sz w:val="16"/>
              </w:rPr>
              <w:t>Domain</w:t>
            </w:r>
          </w:p>
        </w:tc>
        <w:tc>
          <w:tcPr>
            <w:tcW w:type="dxa" w:w="1800"/>
            <w:vAlign w:val="center"/>
            <w:shd w:fill="17324D"/>
          </w:tcPr>
          <w:p>
            <w:pPr>
              <w:jc w:val="center"/>
            </w:pPr>
            <w:r/>
            <w:r>
              <w:rPr>
                <w:rFonts w:ascii="Aptos" w:hAnsi="Aptos"/>
                <w:b/>
                <w:color w:val="FFFFFF"/>
                <w:sz w:val="16"/>
              </w:rPr>
              <w:t>Strict pass</w:t>
            </w:r>
          </w:p>
        </w:tc>
        <w:tc>
          <w:tcPr>
            <w:tcW w:type="dxa" w:w="1008"/>
            <w:vAlign w:val="center"/>
            <w:shd w:fill="17324D"/>
          </w:tcPr>
          <w:p>
            <w:pPr>
              <w:jc w:val="center"/>
            </w:pPr>
            <w:r/>
            <w:r>
              <w:rPr>
                <w:rFonts w:ascii="Aptos" w:hAnsi="Aptos"/>
                <w:b/>
                <w:color w:val="FFFFFF"/>
                <w:sz w:val="16"/>
              </w:rPr>
              <w:t>Eligible</w:t>
            </w:r>
          </w:p>
        </w:tc>
        <w:tc>
          <w:tcPr>
            <w:tcW w:type="dxa" w:w="2448"/>
            <w:vAlign w:val="center"/>
            <w:shd w:fill="17324D"/>
          </w:tcPr>
          <w:p>
            <w:pPr>
              <w:jc w:val="center"/>
            </w:pPr>
            <w:r/>
            <w:r>
              <w:rPr>
                <w:rFonts w:ascii="Aptos" w:hAnsi="Aptos"/>
                <w:b/>
                <w:color w:val="FFFFFF"/>
                <w:sz w:val="16"/>
              </w:rPr>
              <w:t>Conditional accuracy</w:t>
            </w:r>
          </w:p>
        </w:tc>
        <w:tc>
          <w:tcPr>
            <w:tcW w:type="dxa" w:w="1296"/>
            <w:vAlign w:val="center"/>
            <w:shd w:fill="17324D"/>
          </w:tcPr>
          <w:p>
            <w:pPr>
              <w:jc w:val="center"/>
            </w:pPr>
            <w:r/>
            <w:r>
              <w:rPr>
                <w:rFonts w:ascii="Aptos" w:hAnsi="Aptos"/>
                <w:b/>
                <w:color w:val="FFFFFF"/>
                <w:sz w:val="16"/>
              </w:rPr>
              <w:t>Provider failures</w:t>
            </w:r>
          </w:p>
        </w:tc>
        <w:tc>
          <w:tcPr>
            <w:tcW w:type="dxa" w:w="1368"/>
            <w:vAlign w:val="center"/>
            <w:shd w:fill="17324D"/>
          </w:tcPr>
          <w:p>
            <w:pPr>
              <w:jc w:val="center"/>
            </w:pPr>
            <w:r/>
            <w:r>
              <w:rPr>
                <w:rFonts w:ascii="Aptos" w:hAnsi="Aptos"/>
                <w:b/>
                <w:color w:val="FFFFFF"/>
                <w:sz w:val="16"/>
              </w:rPr>
              <w:t>Evidence insufficient</w:t>
            </w:r>
          </w:p>
        </w:tc>
      </w:tr>
      <w:tr>
        <w:tc>
          <w:tcPr>
            <w:tcW w:type="dxa" w:w="1440"/>
            <w:vAlign w:val="center"/>
            <w:shd w:fill="FFFFFF"/>
          </w:tcPr>
          <w:p>
            <w:r/>
            <w:r>
              <w:rPr>
                <w:rFonts w:ascii="Aptos" w:hAnsi="Aptos"/>
                <w:b w:val="0"/>
                <w:color w:val="17202A"/>
                <w:sz w:val="16"/>
              </w:rPr>
              <w:t>payroll</w:t>
            </w:r>
          </w:p>
        </w:tc>
        <w:tc>
          <w:tcPr>
            <w:tcW w:type="dxa" w:w="1800"/>
            <w:vAlign w:val="center"/>
            <w:shd w:fill="FFFFFF"/>
          </w:tcPr>
          <w:p>
            <w:pPr>
              <w:jc w:val="center"/>
            </w:pPr>
            <w:r/>
            <w:r>
              <w:rPr>
                <w:rFonts w:ascii="Aptos" w:hAnsi="Aptos"/>
                <w:b w:val="0"/>
                <w:color w:val="17202A"/>
                <w:sz w:val="16"/>
              </w:rPr>
              <w:t>17/25 = 68.0%</w:t>
            </w:r>
          </w:p>
        </w:tc>
        <w:tc>
          <w:tcPr>
            <w:tcW w:type="dxa" w:w="1008"/>
            <w:vAlign w:val="center"/>
            <w:shd w:fill="FFFFFF"/>
          </w:tcPr>
          <w:p>
            <w:pPr>
              <w:jc w:val="center"/>
            </w:pPr>
            <w:r/>
            <w:r>
              <w:rPr>
                <w:rFonts w:ascii="Aptos" w:hAnsi="Aptos"/>
                <w:b w:val="0"/>
                <w:color w:val="17202A"/>
                <w:sz w:val="16"/>
              </w:rPr>
              <w:t>19</w:t>
            </w:r>
          </w:p>
        </w:tc>
        <w:tc>
          <w:tcPr>
            <w:tcW w:type="dxa" w:w="2448"/>
            <w:vAlign w:val="center"/>
            <w:shd w:fill="FFFFFF"/>
          </w:tcPr>
          <w:p>
            <w:pPr>
              <w:jc w:val="center"/>
            </w:pPr>
            <w:r/>
            <w:r>
              <w:rPr>
                <w:rFonts w:ascii="Aptos" w:hAnsi="Aptos"/>
                <w:b w:val="0"/>
                <w:color w:val="17202A"/>
                <w:sz w:val="16"/>
              </w:rPr>
              <w:t>17/19 = 89.47%</w:t>
            </w:r>
          </w:p>
        </w:tc>
        <w:tc>
          <w:tcPr>
            <w:tcW w:type="dxa" w:w="1296"/>
            <w:vAlign w:val="center"/>
            <w:shd w:fill="FFFFFF"/>
          </w:tcPr>
          <w:p>
            <w:pPr>
              <w:jc w:val="center"/>
            </w:pPr>
            <w:r/>
            <w:r>
              <w:rPr>
                <w:rFonts w:ascii="Aptos" w:hAnsi="Aptos"/>
                <w:b w:val="0"/>
                <w:color w:val="17202A"/>
                <w:sz w:val="16"/>
              </w:rPr>
              <w:t>0</w:t>
            </w:r>
          </w:p>
        </w:tc>
        <w:tc>
          <w:tcPr>
            <w:tcW w:type="dxa" w:w="1368"/>
            <w:vAlign w:val="center"/>
            <w:shd w:fill="FFFFFF"/>
          </w:tcPr>
          <w:p>
            <w:pPr>
              <w:jc w:val="center"/>
            </w:pPr>
            <w:r/>
            <w:r>
              <w:rPr>
                <w:rFonts w:ascii="Aptos" w:hAnsi="Aptos"/>
                <w:b w:val="0"/>
                <w:color w:val="17202A"/>
                <w:sz w:val="16"/>
              </w:rPr>
              <w:t>6</w:t>
            </w:r>
          </w:p>
        </w:tc>
      </w:tr>
      <w:tr>
        <w:tc>
          <w:tcPr>
            <w:tcW w:type="dxa" w:w="1440"/>
            <w:vAlign w:val="center"/>
            <w:shd w:fill="F4F7F9"/>
          </w:tcPr>
          <w:p>
            <w:r/>
            <w:r>
              <w:rPr>
                <w:rFonts w:ascii="Aptos" w:hAnsi="Aptos"/>
                <w:b w:val="0"/>
                <w:color w:val="17202A"/>
                <w:sz w:val="16"/>
              </w:rPr>
              <w:t>clinic</w:t>
            </w:r>
          </w:p>
        </w:tc>
        <w:tc>
          <w:tcPr>
            <w:tcW w:type="dxa" w:w="1800"/>
            <w:vAlign w:val="center"/>
            <w:shd w:fill="F4F7F9"/>
          </w:tcPr>
          <w:p>
            <w:pPr>
              <w:jc w:val="center"/>
            </w:pPr>
            <w:r/>
            <w:r>
              <w:rPr>
                <w:rFonts w:ascii="Aptos" w:hAnsi="Aptos"/>
                <w:b w:val="0"/>
                <w:color w:val="17202A"/>
                <w:sz w:val="16"/>
              </w:rPr>
              <w:t>22/25 = 88.0%</w:t>
            </w:r>
          </w:p>
        </w:tc>
        <w:tc>
          <w:tcPr>
            <w:tcW w:type="dxa" w:w="1008"/>
            <w:vAlign w:val="center"/>
            <w:shd w:fill="F4F7F9"/>
          </w:tcPr>
          <w:p>
            <w:pPr>
              <w:jc w:val="center"/>
            </w:pPr>
            <w:r/>
            <w:r>
              <w:rPr>
                <w:rFonts w:ascii="Aptos" w:hAnsi="Aptos"/>
                <w:b w:val="0"/>
                <w:color w:val="17202A"/>
                <w:sz w:val="16"/>
              </w:rPr>
              <w:t>22</w:t>
            </w:r>
          </w:p>
        </w:tc>
        <w:tc>
          <w:tcPr>
            <w:tcW w:type="dxa" w:w="2448"/>
            <w:vAlign w:val="center"/>
            <w:shd w:fill="F4F7F9"/>
          </w:tcPr>
          <w:p>
            <w:pPr>
              <w:jc w:val="center"/>
            </w:pPr>
            <w:r/>
            <w:r>
              <w:rPr>
                <w:rFonts w:ascii="Aptos" w:hAnsi="Aptos"/>
                <w:b w:val="0"/>
                <w:color w:val="17202A"/>
                <w:sz w:val="16"/>
              </w:rPr>
              <w:t>22/22 = 100.00%</w:t>
            </w:r>
          </w:p>
        </w:tc>
        <w:tc>
          <w:tcPr>
            <w:tcW w:type="dxa" w:w="1296"/>
            <w:vAlign w:val="center"/>
            <w:shd w:fill="F4F7F9"/>
          </w:tcPr>
          <w:p>
            <w:pPr>
              <w:jc w:val="center"/>
            </w:pPr>
            <w:r/>
            <w:r>
              <w:rPr>
                <w:rFonts w:ascii="Aptos" w:hAnsi="Aptos"/>
                <w:b w:val="0"/>
                <w:color w:val="17202A"/>
                <w:sz w:val="16"/>
              </w:rPr>
              <w:t>0</w:t>
            </w:r>
          </w:p>
        </w:tc>
        <w:tc>
          <w:tcPr>
            <w:tcW w:type="dxa" w:w="1368"/>
            <w:vAlign w:val="center"/>
            <w:shd w:fill="F4F7F9"/>
          </w:tcPr>
          <w:p>
            <w:pPr>
              <w:jc w:val="center"/>
            </w:pPr>
            <w:r/>
            <w:r>
              <w:rPr>
                <w:rFonts w:ascii="Aptos" w:hAnsi="Aptos"/>
                <w:b w:val="0"/>
                <w:color w:val="17202A"/>
                <w:sz w:val="16"/>
              </w:rPr>
              <w:t>3</w:t>
            </w:r>
          </w:p>
        </w:tc>
      </w:tr>
      <w:tr>
        <w:tc>
          <w:tcPr>
            <w:tcW w:type="dxa" w:w="1440"/>
            <w:vAlign w:val="center"/>
            <w:shd w:fill="FFFFFF"/>
          </w:tcPr>
          <w:p>
            <w:r/>
            <w:r>
              <w:rPr>
                <w:rFonts w:ascii="Aptos" w:hAnsi="Aptos"/>
                <w:b w:val="0"/>
                <w:color w:val="17202A"/>
                <w:sz w:val="16"/>
              </w:rPr>
              <w:t>orders</w:t>
            </w:r>
          </w:p>
        </w:tc>
        <w:tc>
          <w:tcPr>
            <w:tcW w:type="dxa" w:w="1800"/>
            <w:vAlign w:val="center"/>
            <w:shd w:fill="FFFFFF"/>
          </w:tcPr>
          <w:p>
            <w:pPr>
              <w:jc w:val="center"/>
            </w:pPr>
            <w:r/>
            <w:r>
              <w:rPr>
                <w:rFonts w:ascii="Aptos" w:hAnsi="Aptos"/>
                <w:b w:val="0"/>
                <w:color w:val="17202A"/>
                <w:sz w:val="16"/>
              </w:rPr>
              <w:t>7/25 = 28.0%</w:t>
            </w:r>
          </w:p>
        </w:tc>
        <w:tc>
          <w:tcPr>
            <w:tcW w:type="dxa" w:w="1008"/>
            <w:vAlign w:val="center"/>
            <w:shd w:fill="FFFFFF"/>
          </w:tcPr>
          <w:p>
            <w:pPr>
              <w:jc w:val="center"/>
            </w:pPr>
            <w:r/>
            <w:r>
              <w:rPr>
                <w:rFonts w:ascii="Aptos" w:hAnsi="Aptos"/>
                <w:b w:val="0"/>
                <w:color w:val="17202A"/>
                <w:sz w:val="16"/>
              </w:rPr>
              <w:t>10</w:t>
            </w:r>
          </w:p>
        </w:tc>
        <w:tc>
          <w:tcPr>
            <w:tcW w:type="dxa" w:w="2448"/>
            <w:vAlign w:val="center"/>
            <w:shd w:fill="FFFFFF"/>
          </w:tcPr>
          <w:p>
            <w:pPr>
              <w:jc w:val="center"/>
            </w:pPr>
            <w:r/>
            <w:r>
              <w:rPr>
                <w:rFonts w:ascii="Aptos" w:hAnsi="Aptos"/>
                <w:b w:val="0"/>
                <w:color w:val="17202A"/>
                <w:sz w:val="16"/>
              </w:rPr>
              <w:t>9/10 = 90.00%</w:t>
            </w:r>
          </w:p>
        </w:tc>
        <w:tc>
          <w:tcPr>
            <w:tcW w:type="dxa" w:w="1296"/>
            <w:vAlign w:val="center"/>
            <w:shd w:fill="FFFFFF"/>
          </w:tcPr>
          <w:p>
            <w:pPr>
              <w:jc w:val="center"/>
            </w:pPr>
            <w:r/>
            <w:r>
              <w:rPr>
                <w:rFonts w:ascii="Aptos" w:hAnsi="Aptos"/>
                <w:b w:val="0"/>
                <w:color w:val="17202A"/>
                <w:sz w:val="16"/>
              </w:rPr>
              <w:t>12</w:t>
            </w:r>
          </w:p>
        </w:tc>
        <w:tc>
          <w:tcPr>
            <w:tcW w:type="dxa" w:w="1368"/>
            <w:vAlign w:val="center"/>
            <w:shd w:fill="FFFFFF"/>
          </w:tcPr>
          <w:p>
            <w:pPr>
              <w:jc w:val="center"/>
            </w:pPr>
            <w:r/>
            <w:r>
              <w:rPr>
                <w:rFonts w:ascii="Aptos" w:hAnsi="Aptos"/>
                <w:b w:val="0"/>
                <w:color w:val="17202A"/>
                <w:sz w:val="16"/>
              </w:rPr>
              <w:t>3</w:t>
            </w:r>
          </w:p>
        </w:tc>
      </w:tr>
      <w:tr>
        <w:tc>
          <w:tcPr>
            <w:tcW w:type="dxa" w:w="1440"/>
            <w:vAlign w:val="center"/>
            <w:shd w:fill="F4F7F9"/>
          </w:tcPr>
          <w:p>
            <w:r/>
            <w:r>
              <w:rPr>
                <w:rFonts w:ascii="Aptos" w:hAnsi="Aptos"/>
                <w:b w:val="0"/>
                <w:color w:val="17202A"/>
                <w:sz w:val="16"/>
              </w:rPr>
              <w:t>banking</w:t>
            </w:r>
          </w:p>
        </w:tc>
        <w:tc>
          <w:tcPr>
            <w:tcW w:type="dxa" w:w="1800"/>
            <w:vAlign w:val="center"/>
            <w:shd w:fill="F4F7F9"/>
          </w:tcPr>
          <w:p>
            <w:pPr>
              <w:jc w:val="center"/>
            </w:pPr>
            <w:r/>
            <w:r>
              <w:rPr>
                <w:rFonts w:ascii="Aptos" w:hAnsi="Aptos"/>
                <w:b w:val="0"/>
                <w:color w:val="17202A"/>
                <w:sz w:val="16"/>
              </w:rPr>
              <w:t>0/25 = 0.0%</w:t>
            </w:r>
          </w:p>
        </w:tc>
        <w:tc>
          <w:tcPr>
            <w:tcW w:type="dxa" w:w="1008"/>
            <w:vAlign w:val="center"/>
            <w:shd w:fill="F4F7F9"/>
          </w:tcPr>
          <w:p>
            <w:pPr>
              <w:jc w:val="center"/>
            </w:pPr>
            <w:r/>
            <w:r>
              <w:rPr>
                <w:rFonts w:ascii="Aptos" w:hAnsi="Aptos"/>
                <w:b w:val="0"/>
                <w:color w:val="17202A"/>
                <w:sz w:val="16"/>
              </w:rPr>
              <w:t>0</w:t>
            </w:r>
          </w:p>
        </w:tc>
        <w:tc>
          <w:tcPr>
            <w:tcW w:type="dxa" w:w="2448"/>
            <w:vAlign w:val="center"/>
            <w:shd w:fill="F4F7F9"/>
          </w:tcPr>
          <w:p>
            <w:pPr>
              <w:jc w:val="center"/>
            </w:pPr>
            <w:r/>
            <w:r>
              <w:rPr>
                <w:rFonts w:ascii="Aptos" w:hAnsi="Aptos"/>
                <w:b w:val="0"/>
                <w:color w:val="17202A"/>
                <w:sz w:val="16"/>
              </w:rPr>
              <w:t>Not estimable (0/0)</w:t>
            </w:r>
          </w:p>
        </w:tc>
        <w:tc>
          <w:tcPr>
            <w:tcW w:type="dxa" w:w="1296"/>
            <w:vAlign w:val="center"/>
            <w:shd w:fill="F4F7F9"/>
          </w:tcPr>
          <w:p>
            <w:pPr>
              <w:jc w:val="center"/>
            </w:pPr>
            <w:r/>
            <w:r>
              <w:rPr>
                <w:rFonts w:ascii="Aptos" w:hAnsi="Aptos"/>
                <w:b w:val="0"/>
                <w:color w:val="17202A"/>
                <w:sz w:val="16"/>
              </w:rPr>
              <w:t>21</w:t>
            </w:r>
          </w:p>
        </w:tc>
        <w:tc>
          <w:tcPr>
            <w:tcW w:type="dxa" w:w="1368"/>
            <w:vAlign w:val="center"/>
            <w:shd w:fill="F4F7F9"/>
          </w:tcPr>
          <w:p>
            <w:pPr>
              <w:jc w:val="center"/>
            </w:pPr>
            <w:r/>
            <w:r>
              <w:rPr>
                <w:rFonts w:ascii="Aptos" w:hAnsi="Aptos"/>
                <w:b w:val="0"/>
                <w:color w:val="17202A"/>
                <w:sz w:val="16"/>
              </w:rPr>
              <w:t>4</w:t>
            </w:r>
          </w:p>
        </w:tc>
      </w:tr>
      <w:tr>
        <w:tc>
          <w:tcPr>
            <w:tcW w:type="dxa" w:w="1440"/>
            <w:vAlign w:val="center"/>
            <w:shd w:fill="FFFFFF"/>
          </w:tcPr>
          <w:p>
            <w:r/>
            <w:r>
              <w:rPr>
                <w:rFonts w:ascii="Aptos" w:hAnsi="Aptos"/>
                <w:b w:val="0"/>
                <w:color w:val="17202A"/>
                <w:sz w:val="16"/>
              </w:rPr>
              <w:t>shipping</w:t>
            </w:r>
          </w:p>
        </w:tc>
        <w:tc>
          <w:tcPr>
            <w:tcW w:type="dxa" w:w="1800"/>
            <w:vAlign w:val="center"/>
            <w:shd w:fill="FFFFFF"/>
          </w:tcPr>
          <w:p>
            <w:pPr>
              <w:jc w:val="center"/>
            </w:pPr>
            <w:r/>
            <w:r>
              <w:rPr>
                <w:rFonts w:ascii="Aptos" w:hAnsi="Aptos"/>
                <w:b w:val="0"/>
                <w:color w:val="17202A"/>
                <w:sz w:val="16"/>
              </w:rPr>
              <w:t>0/25 = 0.0%</w:t>
            </w:r>
          </w:p>
        </w:tc>
        <w:tc>
          <w:tcPr>
            <w:tcW w:type="dxa" w:w="1008"/>
            <w:vAlign w:val="center"/>
            <w:shd w:fill="FFFFFF"/>
          </w:tcPr>
          <w:p>
            <w:pPr>
              <w:jc w:val="center"/>
            </w:pPr>
            <w:r/>
            <w:r>
              <w:rPr>
                <w:rFonts w:ascii="Aptos" w:hAnsi="Aptos"/>
                <w:b w:val="0"/>
                <w:color w:val="17202A"/>
                <w:sz w:val="16"/>
              </w:rPr>
              <w:t>0</w:t>
            </w:r>
          </w:p>
        </w:tc>
        <w:tc>
          <w:tcPr>
            <w:tcW w:type="dxa" w:w="2448"/>
            <w:vAlign w:val="center"/>
            <w:shd w:fill="FFFFFF"/>
          </w:tcPr>
          <w:p>
            <w:pPr>
              <w:jc w:val="center"/>
            </w:pPr>
            <w:r/>
            <w:r>
              <w:rPr>
                <w:rFonts w:ascii="Aptos" w:hAnsi="Aptos"/>
                <w:b w:val="0"/>
                <w:color w:val="17202A"/>
                <w:sz w:val="16"/>
              </w:rPr>
              <w:t>Not estimable (0/0)</w:t>
            </w:r>
          </w:p>
        </w:tc>
        <w:tc>
          <w:tcPr>
            <w:tcW w:type="dxa" w:w="1296"/>
            <w:vAlign w:val="center"/>
            <w:shd w:fill="FFFFFF"/>
          </w:tcPr>
          <w:p>
            <w:pPr>
              <w:jc w:val="center"/>
            </w:pPr>
            <w:r/>
            <w:r>
              <w:rPr>
                <w:rFonts w:ascii="Aptos" w:hAnsi="Aptos"/>
                <w:b w:val="0"/>
                <w:color w:val="17202A"/>
                <w:sz w:val="16"/>
              </w:rPr>
              <w:t>22</w:t>
            </w:r>
          </w:p>
        </w:tc>
        <w:tc>
          <w:tcPr>
            <w:tcW w:type="dxa" w:w="1368"/>
            <w:vAlign w:val="center"/>
            <w:shd w:fill="FFFFFF"/>
          </w:tcPr>
          <w:p>
            <w:pPr>
              <w:jc w:val="center"/>
            </w:pPr>
            <w:r/>
            <w:r>
              <w:rPr>
                <w:rFonts w:ascii="Aptos" w:hAnsi="Aptos"/>
                <w:b w:val="0"/>
                <w:color w:val="17202A"/>
                <w:sz w:val="16"/>
              </w:rPr>
              <w:t>3</w:t>
            </w:r>
          </w:p>
        </w:tc>
      </w:tr>
    </w:tbl>
    <w:p/>
    <w:p>
      <w:pPr>
        <w:pStyle w:val="Caption"/>
      </w:pPr>
      <w:r>
        <w:rPr>
          <w:b/>
        </w:rPr>
        <w:t>Table 10. Difficulty-level outcomes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vAlign w:val="center"/>
            <w:shd w:fill="17324D"/>
          </w:tcPr>
          <w:p>
            <w:pPr>
              <w:jc w:val="center"/>
            </w:pPr>
            <w:r/>
            <w:r>
              <w:rPr>
                <w:rFonts w:ascii="Aptos" w:hAnsi="Aptos"/>
                <w:b/>
                <w:color w:val="FFFFFF"/>
                <w:sz w:val="16"/>
              </w:rPr>
              <w:t>Difficulty</w:t>
            </w:r>
          </w:p>
        </w:tc>
        <w:tc>
          <w:tcPr>
            <w:tcW w:type="dxa" w:w="1800"/>
            <w:vAlign w:val="center"/>
            <w:shd w:fill="17324D"/>
          </w:tcPr>
          <w:p>
            <w:pPr>
              <w:jc w:val="center"/>
            </w:pPr>
            <w:r/>
            <w:r>
              <w:rPr>
                <w:rFonts w:ascii="Aptos" w:hAnsi="Aptos"/>
                <w:b/>
                <w:color w:val="FFFFFF"/>
                <w:sz w:val="16"/>
              </w:rPr>
              <w:t>Strict pass</w:t>
            </w:r>
          </w:p>
        </w:tc>
        <w:tc>
          <w:tcPr>
            <w:tcW w:type="dxa" w:w="1008"/>
            <w:vAlign w:val="center"/>
            <w:shd w:fill="17324D"/>
          </w:tcPr>
          <w:p>
            <w:pPr>
              <w:jc w:val="center"/>
            </w:pPr>
            <w:r/>
            <w:r>
              <w:rPr>
                <w:rFonts w:ascii="Aptos" w:hAnsi="Aptos"/>
                <w:b/>
                <w:color w:val="FFFFFF"/>
                <w:sz w:val="16"/>
              </w:rPr>
              <w:t>Eligible</w:t>
            </w:r>
          </w:p>
        </w:tc>
        <w:tc>
          <w:tcPr>
            <w:tcW w:type="dxa" w:w="2448"/>
            <w:vAlign w:val="center"/>
            <w:shd w:fill="17324D"/>
          </w:tcPr>
          <w:p>
            <w:pPr>
              <w:jc w:val="center"/>
            </w:pPr>
            <w:r/>
            <w:r>
              <w:rPr>
                <w:rFonts w:ascii="Aptos" w:hAnsi="Aptos"/>
                <w:b/>
                <w:color w:val="FFFFFF"/>
                <w:sz w:val="16"/>
              </w:rPr>
              <w:t>Conditional accuracy</w:t>
            </w:r>
          </w:p>
        </w:tc>
        <w:tc>
          <w:tcPr>
            <w:tcW w:type="dxa" w:w="1296"/>
            <w:vAlign w:val="center"/>
            <w:shd w:fill="17324D"/>
          </w:tcPr>
          <w:p>
            <w:pPr>
              <w:jc w:val="center"/>
            </w:pPr>
            <w:r/>
            <w:r>
              <w:rPr>
                <w:rFonts w:ascii="Aptos" w:hAnsi="Aptos"/>
                <w:b/>
                <w:color w:val="FFFFFF"/>
                <w:sz w:val="16"/>
              </w:rPr>
              <w:t>Provider failures</w:t>
            </w:r>
          </w:p>
        </w:tc>
        <w:tc>
          <w:tcPr>
            <w:tcW w:type="dxa" w:w="1368"/>
            <w:vAlign w:val="center"/>
            <w:shd w:fill="17324D"/>
          </w:tcPr>
          <w:p>
            <w:pPr>
              <w:jc w:val="center"/>
            </w:pPr>
            <w:r/>
            <w:r>
              <w:rPr>
                <w:rFonts w:ascii="Aptos" w:hAnsi="Aptos"/>
                <w:b/>
                <w:color w:val="FFFFFF"/>
                <w:sz w:val="16"/>
              </w:rPr>
              <w:t>Evidence insufficient</w:t>
            </w:r>
          </w:p>
        </w:tc>
      </w:tr>
      <w:tr>
        <w:tc>
          <w:tcPr>
            <w:tcW w:type="dxa" w:w="1440"/>
            <w:vAlign w:val="center"/>
            <w:shd w:fill="FFFFFF"/>
          </w:tcPr>
          <w:p>
            <w:r/>
            <w:r>
              <w:rPr>
                <w:rFonts w:ascii="Aptos" w:hAnsi="Aptos"/>
                <w:b w:val="0"/>
                <w:color w:val="17202A"/>
                <w:sz w:val="16"/>
              </w:rPr>
              <w:t>medium</w:t>
            </w:r>
          </w:p>
        </w:tc>
        <w:tc>
          <w:tcPr>
            <w:tcW w:type="dxa" w:w="1800"/>
            <w:vAlign w:val="center"/>
            <w:shd w:fill="FFFFFF"/>
          </w:tcPr>
          <w:p>
            <w:pPr>
              <w:jc w:val="center"/>
            </w:pPr>
            <w:r/>
            <w:r>
              <w:rPr>
                <w:rFonts w:ascii="Aptos" w:hAnsi="Aptos"/>
                <w:b w:val="0"/>
                <w:color w:val="17202A"/>
                <w:sz w:val="16"/>
              </w:rPr>
              <w:t>19/50 = 38.0%</w:t>
            </w:r>
          </w:p>
        </w:tc>
        <w:tc>
          <w:tcPr>
            <w:tcW w:type="dxa" w:w="1008"/>
            <w:vAlign w:val="center"/>
            <w:shd w:fill="FFFFFF"/>
          </w:tcPr>
          <w:p>
            <w:pPr>
              <w:jc w:val="center"/>
            </w:pPr>
            <w:r/>
            <w:r>
              <w:rPr>
                <w:rFonts w:ascii="Aptos" w:hAnsi="Aptos"/>
                <w:b w:val="0"/>
                <w:color w:val="17202A"/>
                <w:sz w:val="16"/>
              </w:rPr>
              <w:t>20</w:t>
            </w:r>
          </w:p>
        </w:tc>
        <w:tc>
          <w:tcPr>
            <w:tcW w:type="dxa" w:w="2448"/>
            <w:vAlign w:val="center"/>
            <w:shd w:fill="FFFFFF"/>
          </w:tcPr>
          <w:p>
            <w:pPr>
              <w:jc w:val="center"/>
            </w:pPr>
            <w:r/>
            <w:r>
              <w:rPr>
                <w:rFonts w:ascii="Aptos" w:hAnsi="Aptos"/>
                <w:b w:val="0"/>
                <w:color w:val="17202A"/>
                <w:sz w:val="16"/>
              </w:rPr>
              <w:t>20/20 = 100.00%</w:t>
            </w:r>
          </w:p>
        </w:tc>
        <w:tc>
          <w:tcPr>
            <w:tcW w:type="dxa" w:w="1296"/>
            <w:vAlign w:val="center"/>
            <w:shd w:fill="FFFFFF"/>
          </w:tcPr>
          <w:p>
            <w:pPr>
              <w:jc w:val="center"/>
            </w:pPr>
            <w:r/>
            <w:r>
              <w:rPr>
                <w:rFonts w:ascii="Aptos" w:hAnsi="Aptos"/>
                <w:b w:val="0"/>
                <w:color w:val="17202A"/>
                <w:sz w:val="16"/>
              </w:rPr>
              <w:t>21</w:t>
            </w:r>
          </w:p>
        </w:tc>
        <w:tc>
          <w:tcPr>
            <w:tcW w:type="dxa" w:w="1368"/>
            <w:vAlign w:val="center"/>
            <w:shd w:fill="FFFFFF"/>
          </w:tcPr>
          <w:p>
            <w:pPr>
              <w:jc w:val="center"/>
            </w:pPr>
            <w:r/>
            <w:r>
              <w:rPr>
                <w:rFonts w:ascii="Aptos" w:hAnsi="Aptos"/>
                <w:b w:val="0"/>
                <w:color w:val="17202A"/>
                <w:sz w:val="16"/>
              </w:rPr>
              <w:t>9</w:t>
            </w:r>
          </w:p>
        </w:tc>
      </w:tr>
      <w:tr>
        <w:tc>
          <w:tcPr>
            <w:tcW w:type="dxa" w:w="1440"/>
            <w:vAlign w:val="center"/>
            <w:shd w:fill="F4F7F9"/>
          </w:tcPr>
          <w:p>
            <w:r/>
            <w:r>
              <w:rPr>
                <w:rFonts w:ascii="Aptos" w:hAnsi="Aptos"/>
                <w:b w:val="0"/>
                <w:color w:val="17202A"/>
                <w:sz w:val="16"/>
              </w:rPr>
              <w:t>hard</w:t>
            </w:r>
          </w:p>
        </w:tc>
        <w:tc>
          <w:tcPr>
            <w:tcW w:type="dxa" w:w="1800"/>
            <w:vAlign w:val="center"/>
            <w:shd w:fill="F4F7F9"/>
          </w:tcPr>
          <w:p>
            <w:pPr>
              <w:jc w:val="center"/>
            </w:pPr>
            <w:r/>
            <w:r>
              <w:rPr>
                <w:rFonts w:ascii="Aptos" w:hAnsi="Aptos"/>
                <w:b w:val="0"/>
                <w:color w:val="17202A"/>
                <w:sz w:val="16"/>
              </w:rPr>
              <w:t>14/45 = 31.1%</w:t>
            </w:r>
          </w:p>
        </w:tc>
        <w:tc>
          <w:tcPr>
            <w:tcW w:type="dxa" w:w="1008"/>
            <w:vAlign w:val="center"/>
            <w:shd w:fill="F4F7F9"/>
          </w:tcPr>
          <w:p>
            <w:pPr>
              <w:jc w:val="center"/>
            </w:pPr>
            <w:r/>
            <w:r>
              <w:rPr>
                <w:rFonts w:ascii="Aptos" w:hAnsi="Aptos"/>
                <w:b w:val="0"/>
                <w:color w:val="17202A"/>
                <w:sz w:val="16"/>
              </w:rPr>
              <w:t>17</w:t>
            </w:r>
          </w:p>
        </w:tc>
        <w:tc>
          <w:tcPr>
            <w:tcW w:type="dxa" w:w="2448"/>
            <w:vAlign w:val="center"/>
            <w:shd w:fill="F4F7F9"/>
          </w:tcPr>
          <w:p>
            <w:pPr>
              <w:jc w:val="center"/>
            </w:pPr>
            <w:r/>
            <w:r>
              <w:rPr>
                <w:rFonts w:ascii="Aptos" w:hAnsi="Aptos"/>
                <w:b w:val="0"/>
                <w:color w:val="17202A"/>
                <w:sz w:val="16"/>
              </w:rPr>
              <w:t>14/17 = 82.35%</w:t>
            </w:r>
          </w:p>
        </w:tc>
        <w:tc>
          <w:tcPr>
            <w:tcW w:type="dxa" w:w="1296"/>
            <w:vAlign w:val="center"/>
            <w:shd w:fill="F4F7F9"/>
          </w:tcPr>
          <w:p>
            <w:pPr>
              <w:jc w:val="center"/>
            </w:pPr>
            <w:r/>
            <w:r>
              <w:rPr>
                <w:rFonts w:ascii="Aptos" w:hAnsi="Aptos"/>
                <w:b w:val="0"/>
                <w:color w:val="17202A"/>
                <w:sz w:val="16"/>
              </w:rPr>
              <w:t>18</w:t>
            </w:r>
          </w:p>
        </w:tc>
        <w:tc>
          <w:tcPr>
            <w:tcW w:type="dxa" w:w="1368"/>
            <w:vAlign w:val="center"/>
            <w:shd w:fill="F4F7F9"/>
          </w:tcPr>
          <w:p>
            <w:pPr>
              <w:jc w:val="center"/>
            </w:pPr>
            <w:r/>
            <w:r>
              <w:rPr>
                <w:rFonts w:ascii="Aptos" w:hAnsi="Aptos"/>
                <w:b w:val="0"/>
                <w:color w:val="17202A"/>
                <w:sz w:val="16"/>
              </w:rPr>
              <w:t>10</w:t>
            </w:r>
          </w:p>
        </w:tc>
      </w:tr>
      <w:tr>
        <w:tc>
          <w:tcPr>
            <w:tcW w:type="dxa" w:w="1440"/>
            <w:vAlign w:val="center"/>
            <w:shd w:fill="FFFFFF"/>
          </w:tcPr>
          <w:p>
            <w:r/>
            <w:r>
              <w:rPr>
                <w:rFonts w:ascii="Aptos" w:hAnsi="Aptos"/>
                <w:b w:val="0"/>
                <w:color w:val="17202A"/>
                <w:sz w:val="16"/>
              </w:rPr>
              <w:t>easy</w:t>
            </w:r>
          </w:p>
        </w:tc>
        <w:tc>
          <w:tcPr>
            <w:tcW w:type="dxa" w:w="1800"/>
            <w:vAlign w:val="center"/>
            <w:shd w:fill="FFFFFF"/>
          </w:tcPr>
          <w:p>
            <w:pPr>
              <w:jc w:val="center"/>
            </w:pPr>
            <w:r/>
            <w:r>
              <w:rPr>
                <w:rFonts w:ascii="Aptos" w:hAnsi="Aptos"/>
                <w:b w:val="0"/>
                <w:color w:val="17202A"/>
                <w:sz w:val="16"/>
              </w:rPr>
              <w:t>9/20 = 45.0%</w:t>
            </w:r>
          </w:p>
        </w:tc>
        <w:tc>
          <w:tcPr>
            <w:tcW w:type="dxa" w:w="1008"/>
            <w:vAlign w:val="center"/>
            <w:shd w:fill="FFFFFF"/>
          </w:tcPr>
          <w:p>
            <w:pPr>
              <w:jc w:val="center"/>
            </w:pPr>
            <w:r/>
            <w:r>
              <w:rPr>
                <w:rFonts w:ascii="Aptos" w:hAnsi="Aptos"/>
                <w:b w:val="0"/>
                <w:color w:val="17202A"/>
                <w:sz w:val="16"/>
              </w:rPr>
              <w:t>10</w:t>
            </w:r>
          </w:p>
        </w:tc>
        <w:tc>
          <w:tcPr>
            <w:tcW w:type="dxa" w:w="2448"/>
            <w:vAlign w:val="center"/>
            <w:shd w:fill="FFFFFF"/>
          </w:tcPr>
          <w:p>
            <w:pPr>
              <w:jc w:val="center"/>
            </w:pPr>
            <w:r/>
            <w:r>
              <w:rPr>
                <w:rFonts w:ascii="Aptos" w:hAnsi="Aptos"/>
                <w:b w:val="0"/>
                <w:color w:val="17202A"/>
                <w:sz w:val="16"/>
              </w:rPr>
              <w:t>10/10 = 100.00%</w:t>
            </w:r>
          </w:p>
        </w:tc>
        <w:tc>
          <w:tcPr>
            <w:tcW w:type="dxa" w:w="1296"/>
            <w:vAlign w:val="center"/>
            <w:shd w:fill="FFFFFF"/>
          </w:tcPr>
          <w:p>
            <w:pPr>
              <w:jc w:val="center"/>
            </w:pPr>
            <w:r/>
            <w:r>
              <w:rPr>
                <w:rFonts w:ascii="Aptos" w:hAnsi="Aptos"/>
                <w:b w:val="0"/>
                <w:color w:val="17202A"/>
                <w:sz w:val="16"/>
              </w:rPr>
              <w:t>10</w:t>
            </w:r>
          </w:p>
        </w:tc>
        <w:tc>
          <w:tcPr>
            <w:tcW w:type="dxa" w:w="1368"/>
            <w:vAlign w:val="center"/>
            <w:shd w:fill="FFFFFF"/>
          </w:tcPr>
          <w:p>
            <w:pPr>
              <w:jc w:val="center"/>
            </w:pPr>
            <w:r/>
            <w:r>
              <w:rPr>
                <w:rFonts w:ascii="Aptos" w:hAnsi="Aptos"/>
                <w:b w:val="0"/>
                <w:color w:val="17202A"/>
                <w:sz w:val="16"/>
              </w:rPr>
              <w:t>0</w:t>
            </w:r>
          </w:p>
        </w:tc>
      </w:tr>
      <w:tr>
        <w:tc>
          <w:tcPr>
            <w:tcW w:type="dxa" w:w="1440"/>
            <w:vAlign w:val="center"/>
            <w:shd w:fill="F4F7F9"/>
          </w:tcPr>
          <w:p>
            <w:r/>
            <w:r>
              <w:rPr>
                <w:rFonts w:ascii="Aptos" w:hAnsi="Aptos"/>
                <w:b w:val="0"/>
                <w:color w:val="17202A"/>
                <w:sz w:val="16"/>
              </w:rPr>
              <w:t>expert</w:t>
            </w:r>
          </w:p>
        </w:tc>
        <w:tc>
          <w:tcPr>
            <w:tcW w:type="dxa" w:w="1800"/>
            <w:vAlign w:val="center"/>
            <w:shd w:fill="F4F7F9"/>
          </w:tcPr>
          <w:p>
            <w:pPr>
              <w:jc w:val="center"/>
            </w:pPr>
            <w:r/>
            <w:r>
              <w:rPr>
                <w:rFonts w:ascii="Aptos" w:hAnsi="Aptos"/>
                <w:b w:val="0"/>
                <w:color w:val="17202A"/>
                <w:sz w:val="16"/>
              </w:rPr>
              <w:t>4/10 = 40.0%</w:t>
            </w:r>
          </w:p>
        </w:tc>
        <w:tc>
          <w:tcPr>
            <w:tcW w:type="dxa" w:w="1008"/>
            <w:vAlign w:val="center"/>
            <w:shd w:fill="F4F7F9"/>
          </w:tcPr>
          <w:p>
            <w:pPr>
              <w:jc w:val="center"/>
            </w:pPr>
            <w:r/>
            <w:r>
              <w:rPr>
                <w:rFonts w:ascii="Aptos" w:hAnsi="Aptos"/>
                <w:b w:val="0"/>
                <w:color w:val="17202A"/>
                <w:sz w:val="16"/>
              </w:rPr>
              <w:t>4</w:t>
            </w:r>
          </w:p>
        </w:tc>
        <w:tc>
          <w:tcPr>
            <w:tcW w:type="dxa" w:w="2448"/>
            <w:vAlign w:val="center"/>
            <w:shd w:fill="F4F7F9"/>
          </w:tcPr>
          <w:p>
            <w:pPr>
              <w:jc w:val="center"/>
            </w:pPr>
            <w:r/>
            <w:r>
              <w:rPr>
                <w:rFonts w:ascii="Aptos" w:hAnsi="Aptos"/>
                <w:b w:val="0"/>
                <w:color w:val="17202A"/>
                <w:sz w:val="16"/>
              </w:rPr>
              <w:t>4/4 = 100.00%</w:t>
            </w:r>
          </w:p>
        </w:tc>
        <w:tc>
          <w:tcPr>
            <w:tcW w:type="dxa" w:w="1296"/>
            <w:vAlign w:val="center"/>
            <w:shd w:fill="F4F7F9"/>
          </w:tcPr>
          <w:p>
            <w:pPr>
              <w:jc w:val="center"/>
            </w:pPr>
            <w:r/>
            <w:r>
              <w:rPr>
                <w:rFonts w:ascii="Aptos" w:hAnsi="Aptos"/>
                <w:b w:val="0"/>
                <w:color w:val="17202A"/>
                <w:sz w:val="16"/>
              </w:rPr>
              <w:t>6</w:t>
            </w:r>
          </w:p>
        </w:tc>
        <w:tc>
          <w:tcPr>
            <w:tcW w:type="dxa" w:w="1368"/>
            <w:vAlign w:val="center"/>
            <w:shd w:fill="F4F7F9"/>
          </w:tcPr>
          <w:p>
            <w:pPr>
              <w:jc w:val="center"/>
            </w:pPr>
            <w:r/>
            <w:r>
              <w:rPr>
                <w:rFonts w:ascii="Aptos" w:hAnsi="Aptos"/>
                <w:b w:val="0"/>
                <w:color w:val="17202A"/>
                <w:sz w:val="16"/>
              </w:rPr>
              <w:t>0</w:t>
            </w:r>
          </w:p>
        </w:tc>
      </w:tr>
    </w:tbl>
    <w:p/>
    <w:p>
      <w:pPr>
        <w:pStyle w:val="Heading1"/>
      </w:pPr>
      <w:r>
        <w:t>7. End-to-End Evaluation Architecture</w:t>
      </w:r>
    </w:p>
    <w:p>
      <w:r>
        <w:t>The runner loads a frozen contract, verifies the target, applies preconditions and injected defects, invokes the application through POST /chat/ask, polls the saved investigation, captures persisted evidence, applies deterministic verification and secondary judging, persists results, and runs cleanup. Figure 8 separates application execution from evaluator logic.</w:t>
      </w:r>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figure_8.png"/>
                    <pic:cNvPicPr/>
                  </pic:nvPicPr>
                  <pic:blipFill>
                    <a:blip r:embed="rId18"/>
                    <a:stretch>
                      <a:fillRect/>
                    </a:stretch>
                  </pic:blipFill>
                  <pic:spPr>
                    <a:xfrm>
                      <a:off x="0" y="0"/>
                      <a:ext cx="5943600" cy="3343275"/>
                    </a:xfrm>
                    <a:prstGeom prst="rect"/>
                  </pic:spPr>
                </pic:pic>
              </a:graphicData>
            </a:graphic>
          </wp:inline>
        </w:drawing>
      </w:r>
    </w:p>
    <w:p>
      <w:pPr>
        <w:pStyle w:val="Caption"/>
        <w:jc w:val="center"/>
      </w:pPr>
      <w:r>
        <w:rPr>
          <w:b/>
        </w:rPr>
        <w:t>Figure 8. Scenario lifecycle and evaluation boundaries.</w:t>
      </w:r>
    </w:p>
    <w:p>
      <w:pPr>
        <w:jc w:val="center"/>
      </w:pPr>
      <w:r>
        <w:rPr>
          <w:i/>
          <w:sz w:val="16"/>
        </w:rPr>
        <w:t>Source: Created from the verified system implementation and frozen benchmark artifacts.</w:t>
      </w:r>
    </w:p>
    <w:p>
      <w:pPr>
        <w:pStyle w:val="Heading1"/>
      </w:pPr>
      <w:r>
        <w:t>8. Discussion</w:t>
      </w:r>
    </w:p>
    <w:p>
      <w:r>
        <w:t>The 94.12% conditional accuracy indicates that most usable eligible outputs satisfied deterministic expectations. It must not be read as end-to-end system accuracy: only 51/125 runs entered that denominator. The 36.8% strict rate better represents the observed release-candidate workflow under the recorded provider conditions. Domain comparisons are heavily confounded by execution order because provider failures cluster in later orders, banking, and shipping runs. Banking and shipping conditional accuracy is not estimable, rather than zero, because neither domain produced eligible responses.</w:t>
      </w:r>
    </w:p>
    <w:p>
      <w:r>
        <w:t>Evidence gating prevented at least 14 unsupported reasoning invocations, while five additional cases were insufficient for other recorded reasons. This is operational evidence of abstention behavior, not proof that every unsupported claim is detected. Likewise, the AI Judge’s mean score of 80.308 across 49 completed judgments should be treated as an auxiliary indicator because no human agreement study was performed.</w:t>
      </w:r>
    </w:p>
    <w:p>
      <w:pPr>
        <w:pStyle w:val="Heading1"/>
      </w:pPr>
      <w:r>
        <w:t>9. Threats to Validity and Limitations</w:t>
      </w:r>
    </w:p>
    <w:p>
      <w:pPr>
        <w:pStyle w:val="Caption"/>
      </w:pPr>
      <w:r>
        <w:rPr>
          <w:b/>
        </w:rPr>
        <w:t>Table 11. Threats to validity</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17324D"/>
          </w:tcPr>
          <w:p>
            <w:pPr>
              <w:jc w:val="center"/>
            </w:pPr>
            <w:r/>
            <w:r>
              <w:rPr>
                <w:rFonts w:ascii="Aptos" w:hAnsi="Aptos"/>
                <w:b/>
                <w:color w:val="FFFFFF"/>
                <w:sz w:val="16"/>
              </w:rPr>
              <w:t>Threat</w:t>
            </w:r>
          </w:p>
        </w:tc>
        <w:tc>
          <w:tcPr>
            <w:tcW w:type="dxa" w:w="3528"/>
            <w:vAlign w:val="center"/>
            <w:shd w:fill="17324D"/>
          </w:tcPr>
          <w:p>
            <w:pPr>
              <w:jc w:val="center"/>
            </w:pPr>
            <w:r/>
            <w:r>
              <w:rPr>
                <w:rFonts w:ascii="Aptos" w:hAnsi="Aptos"/>
                <w:b/>
                <w:color w:val="FFFFFF"/>
                <w:sz w:val="16"/>
              </w:rPr>
              <w:t>Observed issue</w:t>
            </w:r>
          </w:p>
        </w:tc>
        <w:tc>
          <w:tcPr>
            <w:tcW w:type="dxa" w:w="3888"/>
            <w:vAlign w:val="center"/>
            <w:shd w:fill="17324D"/>
          </w:tcPr>
          <w:p>
            <w:pPr>
              <w:jc w:val="center"/>
            </w:pPr>
            <w:r/>
            <w:r>
              <w:rPr>
                <w:rFonts w:ascii="Aptos" w:hAnsi="Aptos"/>
                <w:b/>
                <w:color w:val="FFFFFF"/>
                <w:sz w:val="16"/>
              </w:rPr>
              <w:t>Mitigation / required work</w:t>
            </w:r>
          </w:p>
        </w:tc>
      </w:tr>
      <w:tr>
        <w:tc>
          <w:tcPr>
            <w:tcW w:type="dxa" w:w="1944"/>
            <w:vAlign w:val="center"/>
            <w:shd w:fill="FFFFFF"/>
          </w:tcPr>
          <w:p>
            <w:r/>
            <w:r>
              <w:rPr>
                <w:rFonts w:ascii="Aptos" w:hAnsi="Aptos"/>
                <w:b w:val="0"/>
                <w:color w:val="17202A"/>
                <w:sz w:val="16"/>
              </w:rPr>
              <w:t>Construct validity</w:t>
            </w:r>
          </w:p>
        </w:tc>
        <w:tc>
          <w:tcPr>
            <w:tcW w:type="dxa" w:w="3528"/>
            <w:vAlign w:val="center"/>
            <w:shd w:fill="FFFFFF"/>
          </w:tcPr>
          <w:p>
            <w:r/>
            <w:r>
              <w:rPr>
                <w:rFonts w:ascii="Aptos" w:hAnsi="Aptos"/>
                <w:b w:val="0"/>
                <w:color w:val="17202A"/>
                <w:sz w:val="16"/>
              </w:rPr>
              <w:t>Conditional accuracy excludes 74 scenarios</w:t>
            </w:r>
          </w:p>
        </w:tc>
        <w:tc>
          <w:tcPr>
            <w:tcW w:type="dxa" w:w="3888"/>
            <w:vAlign w:val="center"/>
            <w:shd w:fill="FFFFFF"/>
          </w:tcPr>
          <w:p>
            <w:r/>
            <w:r>
              <w:rPr>
                <w:rFonts w:ascii="Aptos" w:hAnsi="Aptos"/>
                <w:b w:val="0"/>
                <w:color w:val="17202A"/>
                <w:sz w:val="16"/>
              </w:rPr>
              <w:t>Always report numerator, denominator, and eligibility rule</w:t>
            </w:r>
          </w:p>
        </w:tc>
      </w:tr>
      <w:tr>
        <w:tc>
          <w:tcPr>
            <w:tcW w:type="dxa" w:w="1944"/>
            <w:vAlign w:val="center"/>
            <w:shd w:fill="F4F7F9"/>
          </w:tcPr>
          <w:p>
            <w:r/>
            <w:r>
              <w:rPr>
                <w:rFonts w:ascii="Aptos" w:hAnsi="Aptos"/>
                <w:b w:val="0"/>
                <w:color w:val="17202A"/>
                <w:sz w:val="16"/>
              </w:rPr>
              <w:t>Internal validity</w:t>
            </w:r>
          </w:p>
        </w:tc>
        <w:tc>
          <w:tcPr>
            <w:tcW w:type="dxa" w:w="3528"/>
            <w:vAlign w:val="center"/>
            <w:shd w:fill="F4F7F9"/>
          </w:tcPr>
          <w:p>
            <w:r/>
            <w:r>
              <w:rPr>
                <w:rFonts w:ascii="Aptos" w:hAnsi="Aptos"/>
                <w:b w:val="0"/>
                <w:color w:val="17202A"/>
                <w:sz w:val="16"/>
              </w:rPr>
              <w:t>55 provider failures cluster by execution period/domain</w:t>
            </w:r>
          </w:p>
        </w:tc>
        <w:tc>
          <w:tcPr>
            <w:tcW w:type="dxa" w:w="3888"/>
            <w:vAlign w:val="center"/>
            <w:shd w:fill="F4F7F9"/>
          </w:tcPr>
          <w:p>
            <w:r/>
            <w:r>
              <w:rPr>
                <w:rFonts w:ascii="Aptos" w:hAnsi="Aptos"/>
                <w:b w:val="0"/>
                <w:color w:val="17202A"/>
                <w:sz w:val="16"/>
              </w:rPr>
              <w:t>Repeat randomized or blocked runs with persisted HTTP status</w:t>
            </w:r>
          </w:p>
        </w:tc>
      </w:tr>
      <w:tr>
        <w:tc>
          <w:tcPr>
            <w:tcW w:type="dxa" w:w="1944"/>
            <w:vAlign w:val="center"/>
            <w:shd w:fill="FFFFFF"/>
          </w:tcPr>
          <w:p>
            <w:r/>
            <w:r>
              <w:rPr>
                <w:rFonts w:ascii="Aptos" w:hAnsi="Aptos"/>
                <w:b w:val="0"/>
                <w:color w:val="17202A"/>
                <w:sz w:val="16"/>
              </w:rPr>
              <w:t>External validity</w:t>
            </w:r>
          </w:p>
        </w:tc>
        <w:tc>
          <w:tcPr>
            <w:tcW w:type="dxa" w:w="3528"/>
            <w:vAlign w:val="center"/>
            <w:shd w:fill="FFFFFF"/>
          </w:tcPr>
          <w:p>
            <w:r/>
            <w:r>
              <w:rPr>
                <w:rFonts w:ascii="Aptos" w:hAnsi="Aptos"/>
                <w:b w:val="0"/>
                <w:color w:val="17202A"/>
                <w:sz w:val="16"/>
              </w:rPr>
              <w:t>Synthetic five-domain fixtures</w:t>
            </w:r>
          </w:p>
        </w:tc>
        <w:tc>
          <w:tcPr>
            <w:tcW w:type="dxa" w:w="3888"/>
            <w:vAlign w:val="center"/>
            <w:shd w:fill="FFFFFF"/>
          </w:tcPr>
          <w:p>
            <w:r/>
            <w:r>
              <w:rPr>
                <w:rFonts w:ascii="Aptos" w:hAnsi="Aptos"/>
                <w:b w:val="0"/>
                <w:color w:val="17202A"/>
                <w:sz w:val="16"/>
              </w:rPr>
              <w:t>Validate on de-identified real incidents and additional engines</w:t>
            </w:r>
          </w:p>
        </w:tc>
      </w:tr>
      <w:tr>
        <w:tc>
          <w:tcPr>
            <w:tcW w:type="dxa" w:w="1944"/>
            <w:vAlign w:val="center"/>
            <w:shd w:fill="F4F7F9"/>
          </w:tcPr>
          <w:p>
            <w:r/>
            <w:r>
              <w:rPr>
                <w:rFonts w:ascii="Aptos" w:hAnsi="Aptos"/>
                <w:b w:val="0"/>
                <w:color w:val="17202A"/>
                <w:sz w:val="16"/>
              </w:rPr>
              <w:t>Evaluator validity</w:t>
            </w:r>
          </w:p>
        </w:tc>
        <w:tc>
          <w:tcPr>
            <w:tcW w:type="dxa" w:w="3528"/>
            <w:vAlign w:val="center"/>
            <w:shd w:fill="F4F7F9"/>
          </w:tcPr>
          <w:p>
            <w:r/>
            <w:r>
              <w:rPr>
                <w:rFonts w:ascii="Aptos" w:hAnsi="Aptos"/>
                <w:b w:val="0"/>
                <w:color w:val="17202A"/>
                <w:sz w:val="16"/>
              </w:rPr>
              <w:t>AI Judge lacks human calibration</w:t>
            </w:r>
          </w:p>
        </w:tc>
        <w:tc>
          <w:tcPr>
            <w:tcW w:type="dxa" w:w="3888"/>
            <w:vAlign w:val="center"/>
            <w:shd w:fill="F4F7F9"/>
          </w:tcPr>
          <w:p>
            <w:r/>
            <w:r>
              <w:rPr>
                <w:rFonts w:ascii="Aptos" w:hAnsi="Aptos"/>
                <w:b w:val="0"/>
                <w:color w:val="17202A"/>
                <w:sz w:val="16"/>
              </w:rPr>
              <w:t>Conduct blinded expert review and inter-rater analysis</w:t>
            </w:r>
          </w:p>
        </w:tc>
      </w:tr>
      <w:tr>
        <w:tc>
          <w:tcPr>
            <w:tcW w:type="dxa" w:w="1944"/>
            <w:vAlign w:val="center"/>
            <w:shd w:fill="FFFFFF"/>
          </w:tcPr>
          <w:p>
            <w:r/>
            <w:r>
              <w:rPr>
                <w:rFonts w:ascii="Aptos" w:hAnsi="Aptos"/>
                <w:b w:val="0"/>
                <w:color w:val="17202A"/>
                <w:sz w:val="16"/>
              </w:rPr>
              <w:t>Statistical validity</w:t>
            </w:r>
          </w:p>
        </w:tc>
        <w:tc>
          <w:tcPr>
            <w:tcW w:type="dxa" w:w="3528"/>
            <w:vAlign w:val="center"/>
            <w:shd w:fill="FFFFFF"/>
          </w:tcPr>
          <w:p>
            <w:r/>
            <w:r>
              <w:rPr>
                <w:rFonts w:ascii="Aptos" w:hAnsi="Aptos"/>
                <w:b w:val="0"/>
                <w:color w:val="17202A"/>
                <w:sz w:val="16"/>
              </w:rPr>
              <w:t>No pre-registered baseline or powered comparison</w:t>
            </w:r>
          </w:p>
        </w:tc>
        <w:tc>
          <w:tcPr>
            <w:tcW w:type="dxa" w:w="3888"/>
            <w:vAlign w:val="center"/>
            <w:shd w:fill="FFFFFF"/>
          </w:tcPr>
          <w:p>
            <w:r/>
            <w:r>
              <w:rPr>
                <w:rFonts w:ascii="Aptos" w:hAnsi="Aptos"/>
                <w:b w:val="0"/>
                <w:color w:val="17202A"/>
                <w:sz w:val="16"/>
              </w:rPr>
              <w:t>Freeze hypotheses, baseline, and analysis plan before rerun</w:t>
            </w:r>
          </w:p>
        </w:tc>
      </w:tr>
      <w:tr>
        <w:tc>
          <w:tcPr>
            <w:tcW w:type="dxa" w:w="1944"/>
            <w:vAlign w:val="center"/>
            <w:shd w:fill="F4F7F9"/>
          </w:tcPr>
          <w:p>
            <w:r/>
            <w:r>
              <w:rPr>
                <w:rFonts w:ascii="Aptos" w:hAnsi="Aptos"/>
                <w:b w:val="0"/>
                <w:color w:val="17202A"/>
                <w:sz w:val="16"/>
              </w:rPr>
              <w:t>Safety validity</w:t>
            </w:r>
          </w:p>
        </w:tc>
        <w:tc>
          <w:tcPr>
            <w:tcW w:type="dxa" w:w="3528"/>
            <w:vAlign w:val="center"/>
            <w:shd w:fill="F4F7F9"/>
          </w:tcPr>
          <w:p>
            <w:r/>
            <w:r>
              <w:rPr>
                <w:rFonts w:ascii="Aptos" w:hAnsi="Aptos"/>
                <w:b w:val="0"/>
                <w:color w:val="17202A"/>
                <w:sz w:val="16"/>
              </w:rPr>
              <w:t>Read-only controls are not formal verification</w:t>
            </w:r>
          </w:p>
        </w:tc>
        <w:tc>
          <w:tcPr>
            <w:tcW w:type="dxa" w:w="3888"/>
            <w:vAlign w:val="center"/>
            <w:shd w:fill="F4F7F9"/>
          </w:tcPr>
          <w:p>
            <w:r/>
            <w:r>
              <w:rPr>
                <w:rFonts w:ascii="Aptos" w:hAnsi="Aptos"/>
                <w:b w:val="0"/>
                <w:color w:val="17202A"/>
                <w:sz w:val="16"/>
              </w:rPr>
              <w:t>Adversarial SQL testing, parser review, least-privilege deployment audit</w:t>
            </w:r>
          </w:p>
        </w:tc>
      </w:tr>
      <w:tr>
        <w:tc>
          <w:tcPr>
            <w:tcW w:type="dxa" w:w="1944"/>
            <w:vAlign w:val="center"/>
            <w:shd w:fill="FFFFFF"/>
          </w:tcPr>
          <w:p>
            <w:r/>
            <w:r>
              <w:rPr>
                <w:rFonts w:ascii="Aptos" w:hAnsi="Aptos"/>
                <w:b w:val="0"/>
                <w:color w:val="17202A"/>
                <w:sz w:val="16"/>
              </w:rPr>
              <w:t>Reproducibility</w:t>
            </w:r>
          </w:p>
        </w:tc>
        <w:tc>
          <w:tcPr>
            <w:tcW w:type="dxa" w:w="3528"/>
            <w:vAlign w:val="center"/>
            <w:shd w:fill="FFFFFF"/>
          </w:tcPr>
          <w:p>
            <w:r/>
            <w:r>
              <w:rPr>
                <w:rFonts w:ascii="Aptos" w:hAnsi="Aptos"/>
                <w:b w:val="0"/>
                <w:color w:val="17202A"/>
                <w:sz w:val="16"/>
              </w:rPr>
              <w:t>Current full pytest collection hit two permission errors</w:t>
            </w:r>
          </w:p>
        </w:tc>
        <w:tc>
          <w:tcPr>
            <w:tcW w:type="dxa" w:w="3888"/>
            <w:vAlign w:val="center"/>
            <w:shd w:fill="FFFFFF"/>
          </w:tcPr>
          <w:p>
            <w:r/>
            <w:r>
              <w:rPr>
                <w:rFonts w:ascii="Aptos" w:hAnsi="Aptos"/>
                <w:b w:val="0"/>
                <w:color w:val="17202A"/>
                <w:sz w:val="16"/>
              </w:rPr>
              <w:t>Resolve environment permissions and publish a clean test artifact</w:t>
            </w:r>
          </w:p>
        </w:tc>
      </w:tr>
    </w:tbl>
    <w:p/>
    <w:p>
      <w:r>
        <w:t>Additional limitations include zero recorded cost that is not a billing assertion; no latency service-level objective; no human evaluation; no baseline model; no ablation of evidence gating; no causal attribution for provider HTTPError; and no evidence that the system is production-safe.</w:t>
      </w:r>
    </w:p>
    <w:p>
      <w:pPr>
        <w:pStyle w:val="Heading1"/>
      </w:pPr>
      <w:r>
        <w:t>10. Conclusion and Future Work</w:t>
      </w:r>
    </w:p>
    <w:p>
      <w:r>
        <w:t>The verified implementation demonstrates a practical evidence-grounded investigation pipeline with explicit SQL controls, provenance-aware evidence, abstention, reporting, and reproducible synthetic evaluation. The frozen benchmark establishes high conditional correctness among usable eligible outputs (48/51) but low observed end-to-end reliability (46/125), primarily because 55 provider HTTPError failures and 19 evidence-insufficient outcomes remain in the strict denominator. The system is therefore a research prototype requiring further reliability, safety, and evaluation work.</w:t>
      </w:r>
    </w:p>
    <w:p>
      <w:r>
        <w:t>Priority future work is to persist provider status and request identifiers; randomize or block scenario order; rerun the full benchmark under stable provider conditions; add deterministic and non-agentic baselines; conduct blinded database-expert evaluation; calibrate the AI Judge; test PostgreSQL and SQL Server end-to-end; perform adversarial SQL-safety testing; and pre-register statistical hypotheses.</w:t>
      </w:r>
    </w:p>
    <w:p>
      <w:pPr>
        <w:pStyle w:val="Heading1"/>
      </w:pPr>
      <w:r>
        <w:t>References</w:t>
      </w:r>
    </w:p>
    <w:p>
      <w:r>
        <w:t>[1] Yu, T., et al. (2018). Spider: A large-scale human-labeled dataset for complex and cross-domain semantic parsing and Text-to-SQL task. EMNLP, 3911–3921. https://doi.org/10.18653/v1/D18-1425</w:t>
      </w:r>
    </w:p>
    <w:p>
      <w:r>
        <w:t>[2] Lei, F., et al. (2024). Spider 2.0: Evaluating language models on real-world enterprise Text-to-SQL workflows. arXiv. https://arxiv.org/abs/2411.07763</w:t>
      </w:r>
    </w:p>
    <w:p>
      <w:r>
        <w:t>[3] Yao, S., et al. (2023). ReAct: Synergizing reasoning and acting in language models. ICLR. https://openreview.net/forum?id=WE_vluYUL-X</w:t>
      </w:r>
    </w:p>
    <w:p>
      <w:r>
        <w:t>[4] Thakur, A. S., et al. (2024). Judging the judges: Evaluating alignment and vulnerabilities in LLMs-as-judges. arXiv. https://arxiv.org/abs/2406.12624</w:t>
      </w:r>
    </w:p>
    <w:p>
      <w:r>
        <w:t>[5] LegacyDB Support Copilot. (2026). README, evaluation documentation, source code, and frozen benchmark artifacts at commit d5815fd509a13cb9dd3eec28c859c79f205d3c80. Internal repository artifact.</w:t>
      </w:r>
    </w:p>
    <w:p>
      <w:pPr>
        <w:pStyle w:val="Heading1"/>
      </w:pPr>
      <w:r>
        <w:t>Appendix A. Benchmark Provenance</w:t>
      </w:r>
    </w:p>
    <w:p>
      <w:pPr>
        <w:pStyle w:val="Caption"/>
      </w:pPr>
      <w:r>
        <w:rPr>
          <w:b/>
        </w:rPr>
        <w:t>Table A1. Frozen artifact identifiers</w:t>
      </w:r>
    </w:p>
    <w:tbl>
      <w:tblPr>
        <w:tblW w:type="auto" w:w="0"/>
        <w:jc w:val="center"/>
        <w:tblLayout w:type="fixed"/>
        <w:tblLook w:firstColumn="1" w:firstRow="1" w:lastColumn="0" w:lastRow="0" w:noHBand="0" w:noVBand="1" w:val="04A0"/>
      </w:tblPr>
      <w:tblGrid>
        <w:gridCol w:w="4680"/>
        <w:gridCol w:w="4680"/>
      </w:tblGrid>
      <w:tr>
        <w:tc>
          <w:tcPr>
            <w:tcW w:type="dxa" w:w="2880"/>
            <w:vAlign w:val="center"/>
            <w:shd w:fill="17324D"/>
          </w:tcPr>
          <w:p>
            <w:pPr>
              <w:jc w:val="center"/>
            </w:pPr>
            <w:r/>
            <w:r>
              <w:rPr>
                <w:rFonts w:ascii="Aptos" w:hAnsi="Aptos"/>
                <w:b/>
                <w:color w:val="FFFFFF"/>
                <w:sz w:val="16"/>
              </w:rPr>
              <w:t>Artifact</w:t>
            </w:r>
          </w:p>
        </w:tc>
        <w:tc>
          <w:tcPr>
            <w:tcW w:type="dxa" w:w="6480"/>
            <w:vAlign w:val="center"/>
            <w:shd w:fill="17324D"/>
          </w:tcPr>
          <w:p>
            <w:pPr>
              <w:jc w:val="center"/>
            </w:pPr>
            <w:r/>
            <w:r>
              <w:rPr>
                <w:rFonts w:ascii="Aptos" w:hAnsi="Aptos"/>
                <w:b/>
                <w:color w:val="FFFFFF"/>
                <w:sz w:val="16"/>
              </w:rPr>
              <w:t>Value</w:t>
            </w:r>
          </w:p>
        </w:tc>
      </w:tr>
      <w:tr>
        <w:tc>
          <w:tcPr>
            <w:tcW w:type="dxa" w:w="2880"/>
            <w:vAlign w:val="center"/>
            <w:shd w:fill="FFFFFF"/>
          </w:tcPr>
          <w:p>
            <w:r/>
            <w:r>
              <w:rPr>
                <w:rFonts w:ascii="Aptos" w:hAnsi="Aptos"/>
                <w:b w:val="0"/>
                <w:color w:val="17202A"/>
                <w:sz w:val="16"/>
              </w:rPr>
              <w:t>Commit</w:t>
            </w:r>
          </w:p>
        </w:tc>
        <w:tc>
          <w:tcPr>
            <w:tcW w:type="dxa" w:w="6480"/>
            <w:vAlign w:val="center"/>
            <w:shd w:fill="FFFFFF"/>
          </w:tcPr>
          <w:p>
            <w:r/>
            <w:r>
              <w:rPr>
                <w:rFonts w:ascii="Aptos" w:hAnsi="Aptos"/>
                <w:b w:val="0"/>
                <w:color w:val="17202A"/>
                <w:sz w:val="16"/>
              </w:rPr>
              <w:t>d5815fd509a13cb9dd3eec28c859c79f205d3c80</w:t>
            </w:r>
          </w:p>
        </w:tc>
      </w:tr>
      <w:tr>
        <w:tc>
          <w:tcPr>
            <w:tcW w:type="dxa" w:w="2880"/>
            <w:vAlign w:val="center"/>
            <w:shd w:fill="F4F7F9"/>
          </w:tcPr>
          <w:p>
            <w:r/>
            <w:r>
              <w:rPr>
                <w:rFonts w:ascii="Aptos" w:hAnsi="Aptos"/>
                <w:b w:val="0"/>
                <w:color w:val="17202A"/>
                <w:sz w:val="16"/>
              </w:rPr>
              <w:t>Tag</w:t>
            </w:r>
          </w:p>
        </w:tc>
        <w:tc>
          <w:tcPr>
            <w:tcW w:type="dxa" w:w="6480"/>
            <w:vAlign w:val="center"/>
            <w:shd w:fill="F4F7F9"/>
          </w:tcPr>
          <w:p>
            <w:pPr>
              <w:jc w:val="center"/>
            </w:pPr>
            <w:r/>
            <w:r>
              <w:rPr>
                <w:rFonts w:ascii="Aptos" w:hAnsi="Aptos"/>
                <w:b w:val="0"/>
                <w:color w:val="17202A"/>
                <w:sz w:val="16"/>
              </w:rPr>
              <w:t>rc-v1.0-final</w:t>
            </w:r>
          </w:p>
        </w:tc>
      </w:tr>
      <w:tr>
        <w:tc>
          <w:tcPr>
            <w:tcW w:type="dxa" w:w="2880"/>
            <w:vAlign w:val="center"/>
            <w:shd w:fill="FFFFFF"/>
          </w:tcPr>
          <w:p>
            <w:r/>
            <w:r>
              <w:rPr>
                <w:rFonts w:ascii="Aptos" w:hAnsi="Aptos"/>
                <w:b w:val="0"/>
                <w:color w:val="17202A"/>
                <w:sz w:val="16"/>
              </w:rPr>
              <w:t>Manifest SHA-256</w:t>
            </w:r>
          </w:p>
        </w:tc>
        <w:tc>
          <w:tcPr>
            <w:tcW w:type="dxa" w:w="6480"/>
            <w:vAlign w:val="center"/>
            <w:shd w:fill="FFFFFF"/>
          </w:tcPr>
          <w:p>
            <w:r/>
            <w:r>
              <w:rPr>
                <w:rFonts w:ascii="Aptos" w:hAnsi="Aptos"/>
                <w:b w:val="0"/>
                <w:color w:val="17202A"/>
                <w:sz w:val="16"/>
              </w:rPr>
              <w:t>45CAC02D759FAC6B67C5B738A26B5BD23E4C3294EB3E4CC10000D4FC029B3F45</w:t>
            </w:r>
          </w:p>
        </w:tc>
      </w:tr>
      <w:tr>
        <w:tc>
          <w:tcPr>
            <w:tcW w:type="dxa" w:w="2880"/>
            <w:vAlign w:val="center"/>
            <w:shd w:fill="F4F7F9"/>
          </w:tcPr>
          <w:p>
            <w:r/>
            <w:r>
              <w:rPr>
                <w:rFonts w:ascii="Aptos" w:hAnsi="Aptos"/>
                <w:b w:val="0"/>
                <w:color w:val="17202A"/>
                <w:sz w:val="16"/>
              </w:rPr>
              <w:t>Summary checksum</w:t>
            </w:r>
          </w:p>
        </w:tc>
        <w:tc>
          <w:tcPr>
            <w:tcW w:type="dxa" w:w="6480"/>
            <w:vAlign w:val="center"/>
            <w:shd w:fill="F4F7F9"/>
          </w:tcPr>
          <w:p>
            <w:r/>
            <w:r>
              <w:rPr>
                <w:rFonts w:ascii="Aptos" w:hAnsi="Aptos"/>
                <w:b w:val="0"/>
                <w:color w:val="17202A"/>
                <w:sz w:val="16"/>
              </w:rPr>
              <w:t>8d14d69e55700a847b1b92844632d98cd30692a047fc61cba3852492b52e7dcc</w:t>
            </w:r>
          </w:p>
        </w:tc>
      </w:tr>
      <w:tr>
        <w:tc>
          <w:tcPr>
            <w:tcW w:type="dxa" w:w="2880"/>
            <w:vAlign w:val="center"/>
            <w:shd w:fill="FFFFFF"/>
          </w:tcPr>
          <w:p>
            <w:r/>
            <w:r>
              <w:rPr>
                <w:rFonts w:ascii="Aptos" w:hAnsi="Aptos"/>
                <w:b w:val="0"/>
                <w:color w:val="17202A"/>
                <w:sz w:val="16"/>
              </w:rPr>
              <w:t>Results CSV checksum</w:t>
            </w:r>
          </w:p>
        </w:tc>
        <w:tc>
          <w:tcPr>
            <w:tcW w:type="dxa" w:w="6480"/>
            <w:vAlign w:val="center"/>
            <w:shd w:fill="FFFFFF"/>
          </w:tcPr>
          <w:p>
            <w:r/>
            <w:r>
              <w:rPr>
                <w:rFonts w:ascii="Aptos" w:hAnsi="Aptos"/>
                <w:b w:val="0"/>
                <w:color w:val="17202A"/>
                <w:sz w:val="16"/>
              </w:rPr>
              <w:t>8709b1bf60025b6274bda24383606d56b6c04e5d64f9f46db5b409f817fdb4ca</w:t>
            </w:r>
          </w:p>
        </w:tc>
      </w:tr>
    </w:tbl>
    <w:p/>
    <w:p>
      <w:pPr>
        <w:pStyle w:val="Heading1"/>
      </w:pPr>
      <w:r>
        <w:t>Appendix B. Reproducibility Checklist</w:t>
      </w:r>
    </w:p>
    <w:p>
      <w:pPr>
        <w:pStyle w:val="ListBullet"/>
      </w:pPr>
      <w:r>
        <w:t>Frozen scenario list and manifest checksum recorded.</w:t>
      </w:r>
    </w:p>
    <w:p>
      <w:pPr>
        <w:pStyle w:val="ListBullet"/>
      </w:pPr>
      <w:r>
        <w:t>Preflight passed; requested/started/terminal = 125/125/125.</w:t>
      </w:r>
    </w:p>
    <w:p>
      <w:pPr>
        <w:pStyle w:val="ListBullet"/>
      </w:pPr>
      <w:r>
        <w:t>Cleanup passed for 125/125; fixture audit after run was 125/125 valid.</w:t>
      </w:r>
    </w:p>
    <w:p>
      <w:pPr>
        <w:pStyle w:val="ListBullet"/>
      </w:pPr>
      <w:r>
        <w:t>Reasoning and judge model and prompt versions recorded.</w:t>
      </w:r>
    </w:p>
    <w:p>
      <w:pPr>
        <w:pStyle w:val="ListBullet"/>
      </w:pPr>
      <w:r>
        <w:t>Application and evaluator commit matched the release tag.</w:t>
      </w:r>
    </w:p>
    <w:p>
      <w:pPr>
        <w:pStyle w:val="ListBullet"/>
      </w:pPr>
      <w:r>
        <w:t>Known provider-status logging limitation retained.</w:t>
      </w:r>
    </w:p>
    <w:p>
      <w:pPr>
        <w:pStyle w:val="ListBullet"/>
      </w:pPr>
      <w:r>
        <w:t>No baseline or human-evaluation result claimed.</w:t>
      </w:r>
    </w:p>
    <w:p>
      <w:pPr>
        <w:pStyle w:val="Heading1"/>
      </w:pPr>
      <w:r>
        <w:t>Appendix C. Missing Experiments</w:t>
      </w:r>
    </w:p>
    <w:p>
      <w:pPr>
        <w:pStyle w:val="ListBullet"/>
      </w:pPr>
      <w:r>
        <w:t>Randomized full rerun with stable provider access and persisted HTTP status.</w:t>
      </w:r>
    </w:p>
    <w:p>
      <w:pPr>
        <w:pStyle w:val="ListBullet"/>
      </w:pPr>
      <w:r>
        <w:t>Non-agentic, Text-to-SQL-only, and deterministic baselines.</w:t>
      </w:r>
    </w:p>
    <w:p>
      <w:pPr>
        <w:pStyle w:val="ListBullet"/>
      </w:pPr>
      <w:r>
        <w:t>Evidence-gate ablation and counterfactual contradiction tests.</w:t>
      </w:r>
    </w:p>
    <w:p>
      <w:pPr>
        <w:pStyle w:val="ListBullet"/>
      </w:pPr>
      <w:r>
        <w:t>Blinded expert evaluation with agreement statistics.</w:t>
      </w:r>
    </w:p>
    <w:p>
      <w:pPr>
        <w:pStyle w:val="ListBullet"/>
      </w:pPr>
      <w:r>
        <w:t>Cross-engine replication on PostgreSQL and SQL Server.</w:t>
      </w:r>
    </w:p>
    <w:p>
      <w:pPr>
        <w:pStyle w:val="ListBullet"/>
      </w:pPr>
      <w:r>
        <w:t>Adversarial SQL safety and performance-load evaluation.</w:t>
      </w:r>
    </w:p>
    <w:p>
      <w:pPr>
        <w:pStyle w:val="Heading1"/>
      </w:pPr>
      <w:r>
        <w:t>Appendix D. Artifact Inventory</w:t>
      </w:r>
    </w:p>
    <w:p>
      <w:r>
        <w:t>Primary evidence reviewed: application agents and services; database connectors; authentication, tenancy, and configuration code; evaluation framework, runners, deterministic validators, AI Judge, and reports; 125 scenario contracts and 625 SQL scripts; frozen provenance, checksums, summary JSON, results CSV, release report, preflight log, fixture audits, and selected execution logs; README, BENCHMARK.md, deployment documentation, migrations, and tests.</w:t>
      </w:r>
    </w:p>
    <w:p>
      <w:pPr>
        <w:pStyle w:val="Heading1"/>
      </w:pPr>
      <w:r>
        <w:t>Appendix E. Verification and Correction Log</w:t>
      </w:r>
    </w:p>
    <w:p>
      <w:pPr>
        <w:pStyle w:val="Caption"/>
      </w:pPr>
      <w:r>
        <w:rPr>
          <w:b/>
        </w:rPr>
        <w:t>Table E1. Important corrections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vAlign w:val="center"/>
            <w:shd w:fill="17324D"/>
          </w:tcPr>
          <w:p>
            <w:pPr>
              <w:jc w:val="center"/>
            </w:pPr>
            <w:r/>
            <w:r>
              <w:rPr>
                <w:rFonts w:ascii="Aptos" w:hAnsi="Aptos"/>
                <w:b/>
                <w:color w:val="FFFFFF"/>
                <w:sz w:val="16"/>
              </w:rPr>
              <w:t>Section</w:t>
            </w:r>
          </w:p>
        </w:tc>
        <w:tc>
          <w:tcPr>
            <w:tcW w:type="dxa" w:w="1944"/>
            <w:vAlign w:val="center"/>
            <w:shd w:fill="17324D"/>
          </w:tcPr>
          <w:p>
            <w:pPr>
              <w:jc w:val="center"/>
            </w:pPr>
            <w:r/>
            <w:r>
              <w:rPr>
                <w:rFonts w:ascii="Aptos" w:hAnsi="Aptos"/>
                <w:b/>
                <w:color w:val="FFFFFF"/>
                <w:sz w:val="16"/>
              </w:rPr>
              <w:t>Existing statement</w:t>
            </w:r>
          </w:p>
        </w:tc>
        <w:tc>
          <w:tcPr>
            <w:tcW w:type="dxa" w:w="2376"/>
            <w:vAlign w:val="center"/>
            <w:shd w:fill="17324D"/>
          </w:tcPr>
          <w:p>
            <w:pPr>
              <w:jc w:val="center"/>
            </w:pPr>
            <w:r/>
            <w:r>
              <w:rPr>
                <w:rFonts w:ascii="Aptos" w:hAnsi="Aptos"/>
                <w:b/>
                <w:color w:val="FFFFFF"/>
                <w:sz w:val="16"/>
              </w:rPr>
              <w:t>Actual evidence</w:t>
            </w:r>
          </w:p>
        </w:tc>
        <w:tc>
          <w:tcPr>
            <w:tcW w:type="dxa" w:w="2304"/>
            <w:vAlign w:val="center"/>
            <w:shd w:fill="17324D"/>
          </w:tcPr>
          <w:p>
            <w:pPr>
              <w:jc w:val="center"/>
            </w:pPr>
            <w:r/>
            <w:r>
              <w:rPr>
                <w:rFonts w:ascii="Aptos" w:hAnsi="Aptos"/>
                <w:b/>
                <w:color w:val="FFFFFF"/>
                <w:sz w:val="16"/>
              </w:rPr>
              <w:t>Correction</w:t>
            </w:r>
          </w:p>
        </w:tc>
        <w:tc>
          <w:tcPr>
            <w:tcW w:type="dxa" w:w="1584"/>
            <w:vAlign w:val="center"/>
            <w:shd w:fill="17324D"/>
          </w:tcPr>
          <w:p>
            <w:pPr>
              <w:jc w:val="center"/>
            </w:pPr>
            <w:r/>
            <w:r>
              <w:rPr>
                <w:rFonts w:ascii="Aptos" w:hAnsi="Aptos"/>
                <w:b/>
                <w:color w:val="FFFFFF"/>
                <w:sz w:val="16"/>
              </w:rPr>
              <w:t>Source</w:t>
            </w:r>
          </w:p>
        </w:tc>
      </w:tr>
      <w:tr>
        <w:tc>
          <w:tcPr>
            <w:tcW w:type="dxa" w:w="1152"/>
            <w:vAlign w:val="center"/>
            <w:shd w:fill="FFFFFF"/>
          </w:tcPr>
          <w:p>
            <w:r/>
            <w:r>
              <w:rPr>
                <w:rFonts w:ascii="Aptos" w:hAnsi="Aptos"/>
                <w:b w:val="0"/>
                <w:color w:val="17202A"/>
                <w:sz w:val="16"/>
              </w:rPr>
              <w:t>Abstract / Results</w:t>
            </w:r>
          </w:p>
        </w:tc>
        <w:tc>
          <w:tcPr>
            <w:tcW w:type="dxa" w:w="1944"/>
            <w:vAlign w:val="center"/>
            <w:shd w:fill="FFFFFF"/>
          </w:tcPr>
          <w:p>
            <w:r/>
            <w:r>
              <w:rPr>
                <w:rFonts w:ascii="Aptos" w:hAnsi="Aptos"/>
                <w:b w:val="0"/>
                <w:color w:val="17202A"/>
                <w:sz w:val="16"/>
              </w:rPr>
              <w:t>94.12% application accuracy without numerator/denominator in every occurrence</w:t>
            </w:r>
          </w:p>
        </w:tc>
        <w:tc>
          <w:tcPr>
            <w:tcW w:type="dxa" w:w="2376"/>
            <w:vAlign w:val="center"/>
            <w:shd w:fill="FFFFFF"/>
          </w:tcPr>
          <w:p>
            <w:r/>
            <w:r>
              <w:rPr>
                <w:rFonts w:ascii="Aptos" w:hAnsi="Aptos"/>
                <w:b w:val="0"/>
                <w:color w:val="17202A"/>
                <w:sz w:val="16"/>
              </w:rPr>
              <w:t>48 deterministic passes among 51 usable eligible answers</w:t>
            </w:r>
          </w:p>
        </w:tc>
        <w:tc>
          <w:tcPr>
            <w:tcW w:type="dxa" w:w="2304"/>
            <w:vAlign w:val="center"/>
            <w:shd w:fill="FFFFFF"/>
          </w:tcPr>
          <w:p>
            <w:r/>
            <w:r>
              <w:rPr>
                <w:rFonts w:ascii="Aptos" w:hAnsi="Aptos"/>
                <w:b w:val="0"/>
                <w:color w:val="17202A"/>
                <w:sz w:val="16"/>
              </w:rPr>
              <w:t>State 48/51 = 94.12%; provider and evidence-gated cases excluded</w:t>
            </w:r>
          </w:p>
        </w:tc>
        <w:tc>
          <w:tcPr>
            <w:tcW w:type="dxa" w:w="1584"/>
            <w:vAlign w:val="center"/>
            <w:shd w:fill="FFFFFF"/>
          </w:tcPr>
          <w:p>
            <w:r/>
            <w:r>
              <w:rPr>
                <w:rFonts w:ascii="Aptos" w:hAnsi="Aptos"/>
                <w:b w:val="0"/>
                <w:color w:val="17202A"/>
                <w:sz w:val="16"/>
              </w:rPr>
              <w:t>benchmark-125-summary.json; release report</w:t>
            </w:r>
          </w:p>
        </w:tc>
      </w:tr>
      <w:tr>
        <w:tc>
          <w:tcPr>
            <w:tcW w:type="dxa" w:w="1152"/>
            <w:vAlign w:val="center"/>
            <w:shd w:fill="F4F7F9"/>
          </w:tcPr>
          <w:p>
            <w:r/>
            <w:r>
              <w:rPr>
                <w:rFonts w:ascii="Aptos" w:hAnsi="Aptos"/>
                <w:b w:val="0"/>
                <w:color w:val="17202A"/>
                <w:sz w:val="16"/>
              </w:rPr>
              <w:t>Abstract / Results</w:t>
            </w:r>
          </w:p>
        </w:tc>
        <w:tc>
          <w:tcPr>
            <w:tcW w:type="dxa" w:w="1944"/>
            <w:vAlign w:val="center"/>
            <w:shd w:fill="F4F7F9"/>
          </w:tcPr>
          <w:p>
            <w:r/>
            <w:r>
              <w:rPr>
                <w:rFonts w:ascii="Aptos" w:hAnsi="Aptos"/>
                <w:b w:val="0"/>
                <w:color w:val="17202A"/>
                <w:sz w:val="16"/>
              </w:rPr>
              <w:t>36.8% strict rate not consistently defined</w:t>
            </w:r>
          </w:p>
        </w:tc>
        <w:tc>
          <w:tcPr>
            <w:tcW w:type="dxa" w:w="2376"/>
            <w:vAlign w:val="center"/>
            <w:shd w:fill="F4F7F9"/>
          </w:tcPr>
          <w:p>
            <w:r/>
            <w:r>
              <w:rPr>
                <w:rFonts w:ascii="Aptos" w:hAnsi="Aptos"/>
                <w:b w:val="0"/>
                <w:color w:val="17202A"/>
                <w:sz w:val="16"/>
              </w:rPr>
              <w:t>46 primary PASS classifications among all 125 requested scenarios</w:t>
            </w:r>
          </w:p>
        </w:tc>
        <w:tc>
          <w:tcPr>
            <w:tcW w:type="dxa" w:w="2304"/>
            <w:vAlign w:val="center"/>
            <w:shd w:fill="F4F7F9"/>
          </w:tcPr>
          <w:p>
            <w:r/>
            <w:r>
              <w:rPr>
                <w:rFonts w:ascii="Aptos" w:hAnsi="Aptos"/>
                <w:b w:val="0"/>
                <w:color w:val="17202A"/>
                <w:sz w:val="16"/>
              </w:rPr>
              <w:t>State 46/125 = 36.8% and include every failure class</w:t>
            </w:r>
          </w:p>
        </w:tc>
        <w:tc>
          <w:tcPr>
            <w:tcW w:type="dxa" w:w="1584"/>
            <w:vAlign w:val="center"/>
            <w:shd w:fill="F4F7F9"/>
          </w:tcPr>
          <w:p>
            <w:r/>
            <w:r>
              <w:rPr>
                <w:rFonts w:ascii="Aptos" w:hAnsi="Aptos"/>
                <w:b w:val="0"/>
                <w:color w:val="17202A"/>
                <w:sz w:val="16"/>
              </w:rPr>
              <w:t>benchmark-125-summary.json</w:t>
            </w:r>
          </w:p>
        </w:tc>
      </w:tr>
      <w:tr>
        <w:tc>
          <w:tcPr>
            <w:tcW w:type="dxa" w:w="1152"/>
            <w:vAlign w:val="center"/>
            <w:shd w:fill="FFFFFF"/>
          </w:tcPr>
          <w:p>
            <w:r/>
            <w:r>
              <w:rPr>
                <w:rFonts w:ascii="Aptos" w:hAnsi="Aptos"/>
                <w:b w:val="0"/>
                <w:color w:val="17202A"/>
                <w:sz w:val="16"/>
              </w:rPr>
              <w:t>Provider failures</w:t>
            </w:r>
          </w:p>
        </w:tc>
        <w:tc>
          <w:tcPr>
            <w:tcW w:type="dxa" w:w="1944"/>
            <w:vAlign w:val="center"/>
            <w:shd w:fill="FFFFFF"/>
          </w:tcPr>
          <w:p>
            <w:r/>
            <w:r>
              <w:rPr>
                <w:rFonts w:ascii="Aptos" w:hAnsi="Aptos"/>
                <w:b w:val="0"/>
                <w:color w:val="17202A"/>
                <w:sz w:val="16"/>
              </w:rPr>
              <w:t>Draft implies sustained external-provider HTTP failure; status/rate limit unclear</w:t>
            </w:r>
          </w:p>
        </w:tc>
        <w:tc>
          <w:tcPr>
            <w:tcW w:type="dxa" w:w="2376"/>
            <w:vAlign w:val="center"/>
            <w:shd w:fill="FFFFFF"/>
          </w:tcPr>
          <w:p>
            <w:r/>
            <w:r>
              <w:rPr>
                <w:rFonts w:ascii="Aptos" w:hAnsi="Aptos"/>
                <w:b w:val="0"/>
                <w:color w:val="17202A"/>
                <w:sz w:val="16"/>
              </w:rPr>
              <w:t>55 HTTPError outcomes; HTTP status was not persisted</w:t>
            </w:r>
          </w:p>
        </w:tc>
        <w:tc>
          <w:tcPr>
            <w:tcW w:type="dxa" w:w="2304"/>
            <w:vAlign w:val="center"/>
            <w:shd w:fill="FFFFFF"/>
          </w:tcPr>
          <w:p>
            <w:r/>
            <w:r>
              <w:rPr>
                <w:rFonts w:ascii="Aptos" w:hAnsi="Aptos"/>
                <w:b w:val="0"/>
                <w:color w:val="17202A"/>
                <w:sz w:val="16"/>
              </w:rPr>
              <w:t>Use PROVIDER_OTHER_FAILURE; say rate limiting is plausible but unproven</w:t>
            </w:r>
          </w:p>
        </w:tc>
        <w:tc>
          <w:tcPr>
            <w:tcW w:type="dxa" w:w="1584"/>
            <w:vAlign w:val="center"/>
            <w:shd w:fill="FFFFFF"/>
          </w:tcPr>
          <w:p>
            <w:r/>
            <w:r>
              <w:rPr>
                <w:rFonts w:ascii="Aptos" w:hAnsi="Aptos"/>
                <w:b w:val="0"/>
                <w:color w:val="17202A"/>
                <w:sz w:val="16"/>
              </w:rPr>
              <w:t>release report; provider-timeout-investigation.md</w:t>
            </w:r>
          </w:p>
        </w:tc>
      </w:tr>
      <w:tr>
        <w:tc>
          <w:tcPr>
            <w:tcW w:type="dxa" w:w="1152"/>
            <w:vAlign w:val="center"/>
            <w:shd w:fill="F4F7F9"/>
          </w:tcPr>
          <w:p>
            <w:r/>
            <w:r>
              <w:rPr>
                <w:rFonts w:ascii="Aptos" w:hAnsi="Aptos"/>
                <w:b w:val="0"/>
                <w:color w:val="17202A"/>
                <w:sz w:val="16"/>
              </w:rPr>
              <w:t>Provenance</w:t>
            </w:r>
          </w:p>
        </w:tc>
        <w:tc>
          <w:tcPr>
            <w:tcW w:type="dxa" w:w="1944"/>
            <w:vAlign w:val="center"/>
            <w:shd w:fill="F4F7F9"/>
          </w:tcPr>
          <w:p>
            <w:r/>
            <w:r>
              <w:rPr>
                <w:rFonts w:ascii="Aptos" w:hAnsi="Aptos"/>
                <w:b w:val="0"/>
                <w:color w:val="17202A"/>
                <w:sz w:val="16"/>
              </w:rPr>
              <w:t>Frozen commit/tag/checksum placeholders</w:t>
            </w:r>
          </w:p>
        </w:tc>
        <w:tc>
          <w:tcPr>
            <w:tcW w:type="dxa" w:w="2376"/>
            <w:vAlign w:val="center"/>
            <w:shd w:fill="F4F7F9"/>
          </w:tcPr>
          <w:p>
            <w:r/>
            <w:r>
              <w:rPr>
                <w:rFonts w:ascii="Aptos" w:hAnsi="Aptos"/>
                <w:b w:val="0"/>
                <w:color w:val="17202A"/>
                <w:sz w:val="16"/>
              </w:rPr>
              <w:t>Commit d5815fd…; tag rc-v1.0-final; manifest 45cac0…3f45</w:t>
            </w:r>
          </w:p>
        </w:tc>
        <w:tc>
          <w:tcPr>
            <w:tcW w:type="dxa" w:w="2304"/>
            <w:vAlign w:val="center"/>
            <w:shd w:fill="F4F7F9"/>
          </w:tcPr>
          <w:p>
            <w:pPr>
              <w:jc w:val="center"/>
            </w:pPr>
            <w:r/>
            <w:r>
              <w:rPr>
                <w:rFonts w:ascii="Aptos" w:hAnsi="Aptos"/>
                <w:b w:val="0"/>
                <w:color w:val="17202A"/>
                <w:sz w:val="16"/>
              </w:rPr>
              <w:t>Insert exact values</w:t>
            </w:r>
          </w:p>
        </w:tc>
        <w:tc>
          <w:tcPr>
            <w:tcW w:type="dxa" w:w="1584"/>
            <w:vAlign w:val="center"/>
            <w:shd w:fill="F4F7F9"/>
          </w:tcPr>
          <w:p>
            <w:r/>
            <w:r>
              <w:rPr>
                <w:rFonts w:ascii="Aptos" w:hAnsi="Aptos"/>
                <w:b w:val="0"/>
                <w:color w:val="17202A"/>
                <w:sz w:val="16"/>
              </w:rPr>
              <w:t>benchmark-125-provenance.json</w:t>
            </w:r>
          </w:p>
        </w:tc>
      </w:tr>
      <w:tr>
        <w:tc>
          <w:tcPr>
            <w:tcW w:type="dxa" w:w="1152"/>
            <w:vAlign w:val="center"/>
            <w:shd w:fill="FFFFFF"/>
          </w:tcPr>
          <w:p>
            <w:r/>
            <w:r>
              <w:rPr>
                <w:rFonts w:ascii="Aptos" w:hAnsi="Aptos"/>
                <w:b w:val="0"/>
                <w:color w:val="17202A"/>
                <w:sz w:val="16"/>
              </w:rPr>
              <w:t>Benchmark design</w:t>
            </w:r>
          </w:p>
        </w:tc>
        <w:tc>
          <w:tcPr>
            <w:tcW w:type="dxa" w:w="1944"/>
            <w:vAlign w:val="center"/>
            <w:shd w:fill="FFFFFF"/>
          </w:tcPr>
          <w:p>
            <w:pPr>
              <w:jc w:val="center"/>
            </w:pPr>
            <w:r/>
            <w:r>
              <w:rPr>
                <w:rFonts w:ascii="Aptos" w:hAnsi="Aptos"/>
                <w:b w:val="0"/>
                <w:color w:val="17202A"/>
                <w:sz w:val="16"/>
              </w:rPr>
              <w:t>SQL-script count absent</w:t>
            </w:r>
          </w:p>
        </w:tc>
        <w:tc>
          <w:tcPr>
            <w:tcW w:type="dxa" w:w="2376"/>
            <w:vAlign w:val="center"/>
            <w:shd w:fill="FFFFFF"/>
          </w:tcPr>
          <w:p>
            <w:r/>
            <w:r>
              <w:rPr>
                <w:rFonts w:ascii="Aptos" w:hAnsi="Aptos"/>
                <w:b w:val="0"/>
                <w:color w:val="17202A"/>
                <w:sz w:val="16"/>
              </w:rPr>
              <w:t>125 scenarios × 5 scripts = 625 SQL scripts</w:t>
            </w:r>
          </w:p>
        </w:tc>
        <w:tc>
          <w:tcPr>
            <w:tcW w:type="dxa" w:w="2304"/>
            <w:vAlign w:val="center"/>
            <w:shd w:fill="FFFFFF"/>
          </w:tcPr>
          <w:p>
            <w:r/>
            <w:r>
              <w:rPr>
                <w:rFonts w:ascii="Aptos" w:hAnsi="Aptos"/>
                <w:b w:val="0"/>
                <w:color w:val="17202A"/>
                <w:sz w:val="16"/>
              </w:rPr>
              <w:t>Report exact count and roles</w:t>
            </w:r>
          </w:p>
        </w:tc>
        <w:tc>
          <w:tcPr>
            <w:tcW w:type="dxa" w:w="1584"/>
            <w:vAlign w:val="center"/>
            <w:shd w:fill="FFFFFF"/>
          </w:tcPr>
          <w:p>
            <w:r/>
            <w:r>
              <w:rPr>
                <w:rFonts w:ascii="Aptos" w:hAnsi="Aptos"/>
                <w:b w:val="0"/>
                <w:color w:val="17202A"/>
                <w:sz w:val="16"/>
              </w:rPr>
              <w:t>evaluation_scenarios/**/{baseline_reset,precondition,inject,verify,cleanup}.sql</w:t>
            </w:r>
          </w:p>
        </w:tc>
      </w:tr>
      <w:tr>
        <w:tc>
          <w:tcPr>
            <w:tcW w:type="dxa" w:w="1152"/>
            <w:vAlign w:val="center"/>
            <w:shd w:fill="F4F7F9"/>
          </w:tcPr>
          <w:p>
            <w:r/>
            <w:r>
              <w:rPr>
                <w:rFonts w:ascii="Aptos" w:hAnsi="Aptos"/>
                <w:b w:val="0"/>
                <w:color w:val="17202A"/>
                <w:sz w:val="16"/>
              </w:rPr>
              <w:t>Evidence gate</w:t>
            </w:r>
          </w:p>
        </w:tc>
        <w:tc>
          <w:tcPr>
            <w:tcW w:type="dxa" w:w="1944"/>
            <w:vAlign w:val="center"/>
            <w:shd w:fill="F4F7F9"/>
          </w:tcPr>
          <w:p>
            <w:r/>
            <w:r>
              <w:rPr>
                <w:rFonts w:ascii="Aptos" w:hAnsi="Aptos"/>
                <w:b w:val="0"/>
                <w:color w:val="17202A"/>
                <w:sz w:val="16"/>
              </w:rPr>
              <w:t>Generic four-state behavior overstated as direct implementation</w:t>
            </w:r>
          </w:p>
        </w:tc>
        <w:tc>
          <w:tcPr>
            <w:tcW w:type="dxa" w:w="2376"/>
            <w:vAlign w:val="center"/>
            <w:shd w:fill="F4F7F9"/>
          </w:tcPr>
          <w:p>
            <w:r/>
            <w:r>
              <w:rPr>
                <w:rFonts w:ascii="Aptos" w:hAnsi="Aptos"/>
                <w:b w:val="0"/>
                <w:color w:val="17202A"/>
                <w:sz w:val="16"/>
              </w:rPr>
              <w:t>Implementation records gate pass/rejection and structured claim support/contradiction; benchmark has 106 passes, 14 rejections, 5 other insufficient</w:t>
            </w:r>
          </w:p>
        </w:tc>
        <w:tc>
          <w:tcPr>
            <w:tcW w:type="dxa" w:w="2304"/>
            <w:vAlign w:val="center"/>
            <w:shd w:fill="F4F7F9"/>
          </w:tcPr>
          <w:p>
            <w:r/>
            <w:r>
              <w:rPr>
                <w:rFonts w:ascii="Aptos" w:hAnsi="Aptos"/>
                <w:b w:val="0"/>
                <w:color w:val="17202A"/>
                <w:sz w:val="16"/>
              </w:rPr>
              <w:t>Describe implemented gate and use four states as reporting semantics, not a measured four-way classifier</w:t>
            </w:r>
          </w:p>
        </w:tc>
        <w:tc>
          <w:tcPr>
            <w:tcW w:type="dxa" w:w="1584"/>
            <w:vAlign w:val="center"/>
            <w:shd w:fill="F4F7F9"/>
          </w:tcPr>
          <w:p>
            <w:r/>
            <w:r>
              <w:rPr>
                <w:rFonts w:ascii="Aptos" w:hAnsi="Aptos"/>
                <w:b w:val="0"/>
                <w:color w:val="17202A"/>
                <w:sz w:val="16"/>
              </w:rPr>
              <w:t>combined_evidence_gate.py; root_cause_support_status.py; summary JSON</w:t>
            </w:r>
          </w:p>
        </w:tc>
      </w:tr>
      <w:tr>
        <w:tc>
          <w:tcPr>
            <w:tcW w:type="dxa" w:w="1152"/>
            <w:vAlign w:val="center"/>
            <w:shd w:fill="FFFFFF"/>
          </w:tcPr>
          <w:p>
            <w:r/>
            <w:r>
              <w:rPr>
                <w:rFonts w:ascii="Aptos" w:hAnsi="Aptos"/>
                <w:b w:val="0"/>
                <w:color w:val="17202A"/>
                <w:sz w:val="16"/>
              </w:rPr>
              <w:t>Safety</w:t>
            </w:r>
          </w:p>
        </w:tc>
        <w:tc>
          <w:tcPr>
            <w:tcW w:type="dxa" w:w="1944"/>
            <w:vAlign w:val="center"/>
            <w:shd w:fill="FFFFFF"/>
          </w:tcPr>
          <w:p>
            <w:r/>
            <w:r>
              <w:rPr>
                <w:rFonts w:ascii="Aptos" w:hAnsi="Aptos"/>
                <w:b w:val="0"/>
                <w:color w:val="17202A"/>
                <w:sz w:val="16"/>
              </w:rPr>
              <w:t>Unverified parser/timeout/transaction claims</w:t>
            </w:r>
          </w:p>
        </w:tc>
        <w:tc>
          <w:tcPr>
            <w:tcW w:type="dxa" w:w="2376"/>
            <w:vAlign w:val="center"/>
            <w:shd w:fill="FFFFFF"/>
          </w:tcPr>
          <w:p>
            <w:r/>
            <w:r>
              <w:rPr>
                <w:rFonts w:ascii="Aptos" w:hAnsi="Aptos"/>
                <w:b w:val="0"/>
                <w:color w:val="17202A"/>
                <w:sz w:val="16"/>
              </w:rPr>
              <w:t>Allowlist SELECT/SHOW/DESCRIBE/DESC/EXPLAIN; max rows 100; full scans disabled by default; read-only DB identity documented</w:t>
            </w:r>
          </w:p>
        </w:tc>
        <w:tc>
          <w:tcPr>
            <w:tcW w:type="dxa" w:w="2304"/>
            <w:vAlign w:val="center"/>
            <w:shd w:fill="FFFFFF"/>
          </w:tcPr>
          <w:p>
            <w:r/>
            <w:r>
              <w:rPr>
                <w:rFonts w:ascii="Aptos" w:hAnsi="Aptos"/>
                <w:b w:val="0"/>
                <w:color w:val="17202A"/>
                <w:sz w:val="16"/>
              </w:rPr>
              <w:t>Replace aspirational language with implemented controls; do not claim a full SQL parser</w:t>
            </w:r>
          </w:p>
        </w:tc>
        <w:tc>
          <w:tcPr>
            <w:tcW w:type="dxa" w:w="1584"/>
            <w:vAlign w:val="center"/>
            <w:shd w:fill="FFFFFF"/>
          </w:tcPr>
          <w:p>
            <w:r/>
            <w:r>
              <w:rPr>
                <w:rFonts w:ascii="Aptos" w:hAnsi="Aptos"/>
                <w:b w:val="0"/>
                <w:color w:val="17202A"/>
                <w:sz w:val="16"/>
              </w:rPr>
              <w:t>README.md; config.py; sql_validator.py; evaluation README</w:t>
            </w:r>
          </w:p>
        </w:tc>
      </w:tr>
      <w:tr>
        <w:tc>
          <w:tcPr>
            <w:tcW w:type="dxa" w:w="1152"/>
            <w:vAlign w:val="center"/>
            <w:shd w:fill="F4F7F9"/>
          </w:tcPr>
          <w:p>
            <w:r/>
            <w:r>
              <w:rPr>
                <w:rFonts w:ascii="Aptos" w:hAnsi="Aptos"/>
                <w:b w:val="0"/>
                <w:color w:val="17202A"/>
                <w:sz w:val="16"/>
              </w:rPr>
              <w:t>AI Judge</w:t>
            </w:r>
          </w:p>
        </w:tc>
        <w:tc>
          <w:tcPr>
            <w:tcW w:type="dxa" w:w="1944"/>
            <w:vAlign w:val="center"/>
            <w:shd w:fill="F4F7F9"/>
          </w:tcPr>
          <w:p>
            <w:r/>
            <w:r>
              <w:rPr>
                <w:rFonts w:ascii="Aptos" w:hAnsi="Aptos"/>
                <w:b w:val="0"/>
                <w:color w:val="17202A"/>
                <w:sz w:val="16"/>
              </w:rPr>
              <w:t>Scoring components incomplete</w:t>
            </w:r>
          </w:p>
        </w:tc>
        <w:tc>
          <w:tcPr>
            <w:tcW w:type="dxa" w:w="2376"/>
            <w:vAlign w:val="center"/>
            <w:shd w:fill="F4F7F9"/>
          </w:tcPr>
          <w:p>
            <w:r/>
            <w:r>
              <w:rPr>
                <w:rFonts w:ascii="Aptos" w:hAnsi="Aptos"/>
                <w:b w:val="0"/>
                <w:color w:val="17202A"/>
                <w:sz w:val="16"/>
              </w:rPr>
              <w:t>Seven dimensions weighted 30/25/10/10/10/10/5; temperature 0; 2 retries default</w:t>
            </w:r>
          </w:p>
        </w:tc>
        <w:tc>
          <w:tcPr>
            <w:tcW w:type="dxa" w:w="2304"/>
            <w:vAlign w:val="center"/>
            <w:shd w:fill="F4F7F9"/>
          </w:tcPr>
          <w:p>
            <w:r/>
            <w:r>
              <w:rPr>
                <w:rFonts w:ascii="Aptos" w:hAnsi="Aptos"/>
                <w:b w:val="0"/>
                <w:color w:val="17202A"/>
                <w:sz w:val="16"/>
              </w:rPr>
              <w:t>Add exact rubric and limitations</w:t>
            </w:r>
          </w:p>
        </w:tc>
        <w:tc>
          <w:tcPr>
            <w:tcW w:type="dxa" w:w="1584"/>
            <w:vAlign w:val="center"/>
            <w:shd w:fill="F4F7F9"/>
          </w:tcPr>
          <w:p>
            <w:r/>
            <w:r>
              <w:rPr>
                <w:rFonts w:ascii="Aptos" w:hAnsi="Aptos"/>
                <w:b w:val="0"/>
                <w:color w:val="17202A"/>
                <w:sz w:val="16"/>
              </w:rPr>
              <w:t>evaluation/judges/ai_judge.py</w:t>
            </w:r>
          </w:p>
        </w:tc>
      </w:tr>
      <w:tr>
        <w:tc>
          <w:tcPr>
            <w:tcW w:type="dxa" w:w="1152"/>
            <w:vAlign w:val="center"/>
            <w:shd w:fill="FFFFFF"/>
          </w:tcPr>
          <w:p>
            <w:r/>
            <w:r>
              <w:rPr>
                <w:rFonts w:ascii="Aptos" w:hAnsi="Aptos"/>
                <w:b w:val="0"/>
                <w:color w:val="17202A"/>
                <w:sz w:val="16"/>
              </w:rPr>
              <w:t>Results</w:t>
            </w:r>
          </w:p>
        </w:tc>
        <w:tc>
          <w:tcPr>
            <w:tcW w:type="dxa" w:w="1944"/>
            <w:vAlign w:val="center"/>
            <w:shd w:fill="FFFFFF"/>
          </w:tcPr>
          <w:p>
            <w:r/>
            <w:r>
              <w:rPr>
                <w:rFonts w:ascii="Aptos" w:hAnsi="Aptos"/>
                <w:b w:val="0"/>
                <w:color w:val="17202A"/>
                <w:sz w:val="16"/>
              </w:rPr>
              <w:t>Domain zeroes could be read as measured inaccuracy</w:t>
            </w:r>
          </w:p>
        </w:tc>
        <w:tc>
          <w:tcPr>
            <w:tcW w:type="dxa" w:w="2376"/>
            <w:vAlign w:val="center"/>
            <w:shd w:fill="FFFFFF"/>
          </w:tcPr>
          <w:p>
            <w:r/>
            <w:r>
              <w:rPr>
                <w:rFonts w:ascii="Aptos" w:hAnsi="Aptos"/>
                <w:b w:val="0"/>
                <w:color w:val="17202A"/>
                <w:sz w:val="16"/>
              </w:rPr>
              <w:t>Banking and shipping had zero eligible responses because failures censored all usable answers</w:t>
            </w:r>
          </w:p>
        </w:tc>
        <w:tc>
          <w:tcPr>
            <w:tcW w:type="dxa" w:w="2304"/>
            <w:vAlign w:val="center"/>
            <w:shd w:fill="FFFFFF"/>
          </w:tcPr>
          <w:p>
            <w:r/>
            <w:r>
              <w:rPr>
                <w:rFonts w:ascii="Aptos" w:hAnsi="Aptos"/>
                <w:b w:val="0"/>
                <w:color w:val="17202A"/>
                <w:sz w:val="16"/>
              </w:rPr>
              <w:t>Mark conditional accuracy not estimable (0/0), not 0% accuracy</w:t>
            </w:r>
          </w:p>
        </w:tc>
        <w:tc>
          <w:tcPr>
            <w:tcW w:type="dxa" w:w="1584"/>
            <w:vAlign w:val="center"/>
            <w:shd w:fill="FFFFFF"/>
          </w:tcPr>
          <w:p>
            <w:r/>
            <w:r>
              <w:rPr>
                <w:rFonts w:ascii="Aptos" w:hAnsi="Aptos"/>
                <w:b w:val="0"/>
                <w:color w:val="17202A"/>
                <w:sz w:val="16"/>
              </w:rPr>
              <w:t>benchmark-125-summary.json</w:t>
            </w:r>
          </w:p>
        </w:tc>
      </w:tr>
      <w:tr>
        <w:tc>
          <w:tcPr>
            <w:tcW w:type="dxa" w:w="1152"/>
            <w:vAlign w:val="center"/>
            <w:shd w:fill="F4F7F9"/>
          </w:tcPr>
          <w:p>
            <w:r/>
            <w:r>
              <w:rPr>
                <w:rFonts w:ascii="Aptos" w:hAnsi="Aptos"/>
                <w:b w:val="0"/>
                <w:color w:val="17202A"/>
                <w:sz w:val="16"/>
              </w:rPr>
              <w:t>Testing</w:t>
            </w:r>
          </w:p>
        </w:tc>
        <w:tc>
          <w:tcPr>
            <w:tcW w:type="dxa" w:w="1944"/>
            <w:vAlign w:val="center"/>
            <w:shd w:fill="F4F7F9"/>
          </w:tcPr>
          <w:p>
            <w:r/>
            <w:r>
              <w:rPr>
                <w:rFonts w:ascii="Aptos" w:hAnsi="Aptos"/>
                <w:b w:val="0"/>
                <w:color w:val="17202A"/>
                <w:sz w:val="16"/>
              </w:rPr>
              <w:t>Potential blanket claim of all tests passing</w:t>
            </w:r>
          </w:p>
        </w:tc>
        <w:tc>
          <w:tcPr>
            <w:tcW w:type="dxa" w:w="2376"/>
            <w:vAlign w:val="center"/>
            <w:shd w:fill="F4F7F9"/>
          </w:tcPr>
          <w:p>
            <w:r/>
            <w:r>
              <w:rPr>
                <w:rFonts w:ascii="Aptos" w:hAnsi="Aptos"/>
                <w:b w:val="0"/>
                <w:color w:val="17202A"/>
                <w:sz w:val="16"/>
              </w:rPr>
              <w:t>Current collection interrupted by PermissionError reading .env.evaluation in two modules</w:t>
            </w:r>
          </w:p>
        </w:tc>
        <w:tc>
          <w:tcPr>
            <w:tcW w:type="dxa" w:w="2304"/>
            <w:vAlign w:val="center"/>
            <w:shd w:fill="F4F7F9"/>
          </w:tcPr>
          <w:p>
            <w:r/>
            <w:r>
              <w:rPr>
                <w:rFonts w:ascii="Aptos" w:hAnsi="Aptos"/>
                <w:b w:val="0"/>
                <w:color w:val="17202A"/>
                <w:sz w:val="16"/>
              </w:rPr>
              <w:t>Report frozen benchmark checks separately; do not assert current full-suite pass</w:t>
            </w:r>
          </w:p>
        </w:tc>
        <w:tc>
          <w:tcPr>
            <w:tcW w:type="dxa" w:w="1584"/>
            <w:vAlign w:val="center"/>
            <w:shd w:fill="F4F7F9"/>
          </w:tcPr>
          <w:p>
            <w:r/>
            <w:r>
              <w:rPr>
                <w:rFonts w:ascii="Aptos" w:hAnsi="Aptos"/>
                <w:b w:val="0"/>
                <w:color w:val="17202A"/>
                <w:sz w:val="16"/>
              </w:rPr>
              <w:t>pytest --collect-only -q, 2026-07-19</w:t>
            </w:r>
          </w:p>
        </w:tc>
      </w:tr>
    </w:tbl>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Mukesh Dabi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B6573"/>
        <w:sz w:val="16"/>
      </w:rPr>
      <w:t>EVIDENCE-GROUNDED AI FOR LEGACY DATABASE RCA  |  INTERNAL DRAFT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b w:val="0"/>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C6E9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A8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