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56E6F" w14:textId="77777777" w:rsidR="005E4CC1" w:rsidRDefault="005E4CC1" w:rsidP="005E4CC1">
      <w:pPr>
        <w:widowControl w:val="0"/>
        <w:spacing w:line="278" w:lineRule="auto"/>
        <w:contextualSpacing/>
        <w:jc w:val="center"/>
      </w:pPr>
    </w:p>
    <w:p w14:paraId="16F0FD4B" w14:textId="77777777" w:rsidR="005E4CC1" w:rsidRDefault="005E4CC1" w:rsidP="005E4CC1">
      <w:pPr>
        <w:widowControl w:val="0"/>
        <w:spacing w:line="278" w:lineRule="auto"/>
        <w:contextualSpacing/>
        <w:jc w:val="center"/>
      </w:pPr>
    </w:p>
    <w:p w14:paraId="312143E4" w14:textId="77777777" w:rsidR="005E4CC1" w:rsidRDefault="005E4CC1" w:rsidP="005E4CC1">
      <w:pPr>
        <w:widowControl w:val="0"/>
        <w:spacing w:line="278" w:lineRule="auto"/>
        <w:contextualSpacing/>
        <w:jc w:val="center"/>
      </w:pPr>
    </w:p>
    <w:p w14:paraId="107C4DEE" w14:textId="77777777" w:rsidR="005E4CC1" w:rsidRDefault="005E4CC1" w:rsidP="005E4CC1">
      <w:pPr>
        <w:widowControl w:val="0"/>
        <w:spacing w:line="278" w:lineRule="auto"/>
        <w:contextualSpacing/>
        <w:jc w:val="center"/>
      </w:pPr>
    </w:p>
    <w:p w14:paraId="55C2472C" w14:textId="77777777" w:rsidR="005E4CC1" w:rsidRDefault="005E4CC1" w:rsidP="005E4CC1">
      <w:pPr>
        <w:widowControl w:val="0"/>
        <w:spacing w:line="278" w:lineRule="auto"/>
        <w:contextualSpacing/>
        <w:jc w:val="center"/>
      </w:pPr>
    </w:p>
    <w:p w14:paraId="14D12FF8" w14:textId="77777777" w:rsidR="005E4CC1" w:rsidRDefault="005E4CC1" w:rsidP="005E4CC1">
      <w:pPr>
        <w:widowControl w:val="0"/>
        <w:spacing w:line="278" w:lineRule="auto"/>
        <w:contextualSpacing/>
        <w:jc w:val="center"/>
      </w:pPr>
    </w:p>
    <w:p w14:paraId="3CD0B945" w14:textId="77777777" w:rsidR="005E4CC1" w:rsidRDefault="005E4CC1" w:rsidP="005E4CC1">
      <w:pPr>
        <w:widowControl w:val="0"/>
        <w:spacing w:line="278" w:lineRule="auto"/>
        <w:contextualSpacing/>
        <w:jc w:val="center"/>
      </w:pPr>
    </w:p>
    <w:p w14:paraId="4409DD41" w14:textId="77777777" w:rsidR="005E4CC1" w:rsidRDefault="005E4CC1" w:rsidP="005E4CC1">
      <w:pPr>
        <w:widowControl w:val="0"/>
        <w:spacing w:line="278" w:lineRule="auto"/>
        <w:contextualSpacing/>
        <w:jc w:val="center"/>
      </w:pPr>
    </w:p>
    <w:p w14:paraId="633FF856" w14:textId="77777777" w:rsidR="005E4CC1" w:rsidRDefault="005E4CC1" w:rsidP="005E4CC1">
      <w:pPr>
        <w:widowControl w:val="0"/>
        <w:spacing w:line="278" w:lineRule="auto"/>
        <w:contextualSpacing/>
        <w:jc w:val="center"/>
      </w:pPr>
    </w:p>
    <w:p w14:paraId="791646C4" w14:textId="77777777" w:rsidR="005E4CC1" w:rsidRDefault="005E4CC1" w:rsidP="005E4CC1">
      <w:pPr>
        <w:widowControl w:val="0"/>
        <w:spacing w:line="278" w:lineRule="auto"/>
        <w:contextualSpacing/>
        <w:jc w:val="center"/>
      </w:pPr>
    </w:p>
    <w:p w14:paraId="00E2CAAD" w14:textId="77777777" w:rsidR="005E4CC1" w:rsidRDefault="005E4CC1" w:rsidP="005E4CC1">
      <w:pPr>
        <w:widowControl w:val="0"/>
        <w:spacing w:line="278" w:lineRule="auto"/>
        <w:contextualSpacing/>
        <w:jc w:val="center"/>
      </w:pPr>
    </w:p>
    <w:p w14:paraId="080EBE9E" w14:textId="77777777" w:rsidR="005E4CC1" w:rsidRDefault="005E4CC1" w:rsidP="005E4CC1">
      <w:pPr>
        <w:widowControl w:val="0"/>
        <w:spacing w:line="278" w:lineRule="auto"/>
        <w:contextualSpacing/>
        <w:jc w:val="center"/>
      </w:pPr>
    </w:p>
    <w:p w14:paraId="568E14D3" w14:textId="77777777" w:rsidR="005E4CC1" w:rsidRDefault="005E4CC1" w:rsidP="005E4CC1">
      <w:pPr>
        <w:widowControl w:val="0"/>
        <w:spacing w:line="278" w:lineRule="auto"/>
        <w:contextualSpacing/>
        <w:jc w:val="center"/>
      </w:pPr>
    </w:p>
    <w:p w14:paraId="5C5A4912" w14:textId="77777777" w:rsidR="005E4CC1" w:rsidRDefault="005E4CC1" w:rsidP="005E4CC1">
      <w:pPr>
        <w:widowControl w:val="0"/>
        <w:spacing w:line="278" w:lineRule="auto"/>
        <w:contextualSpacing/>
        <w:jc w:val="center"/>
      </w:pPr>
    </w:p>
    <w:p w14:paraId="62A48D23" w14:textId="77777777" w:rsidR="005E4CC1" w:rsidRDefault="005E4CC1" w:rsidP="005E4CC1">
      <w:pPr>
        <w:widowControl w:val="0"/>
        <w:spacing w:line="278" w:lineRule="auto"/>
        <w:contextualSpacing/>
        <w:jc w:val="center"/>
      </w:pPr>
    </w:p>
    <w:p w14:paraId="46E33478" w14:textId="77777777" w:rsidR="005E4CC1" w:rsidRDefault="005E4CC1" w:rsidP="005E4CC1">
      <w:pPr>
        <w:widowControl w:val="0"/>
        <w:spacing w:line="278" w:lineRule="auto"/>
        <w:contextualSpacing/>
        <w:jc w:val="center"/>
      </w:pPr>
    </w:p>
    <w:p w14:paraId="38976170" w14:textId="77777777" w:rsidR="005E4CC1" w:rsidRDefault="005E4CC1" w:rsidP="005E4CC1">
      <w:pPr>
        <w:widowControl w:val="0"/>
        <w:spacing w:line="278" w:lineRule="auto"/>
        <w:contextualSpacing/>
        <w:jc w:val="center"/>
      </w:pPr>
    </w:p>
    <w:p w14:paraId="6D155C71" w14:textId="77777777" w:rsidR="005E4CC1" w:rsidRDefault="005E4CC1" w:rsidP="005E4CC1">
      <w:pPr>
        <w:widowControl w:val="0"/>
        <w:spacing w:line="278" w:lineRule="auto"/>
        <w:contextualSpacing/>
        <w:jc w:val="center"/>
      </w:pPr>
    </w:p>
    <w:p w14:paraId="7507BF99" w14:textId="77777777" w:rsidR="005E4CC1" w:rsidRDefault="005E4CC1" w:rsidP="005E4CC1">
      <w:pPr>
        <w:widowControl w:val="0"/>
        <w:spacing w:line="278" w:lineRule="auto"/>
        <w:contextualSpacing/>
        <w:jc w:val="center"/>
      </w:pPr>
    </w:p>
    <w:p w14:paraId="6492CDF9" w14:textId="77777777" w:rsidR="005E4CC1" w:rsidRDefault="005E4CC1" w:rsidP="005E4CC1">
      <w:pPr>
        <w:widowControl w:val="0"/>
        <w:spacing w:line="278" w:lineRule="auto"/>
        <w:contextualSpacing/>
        <w:jc w:val="center"/>
      </w:pPr>
    </w:p>
    <w:p w14:paraId="3F00548B" w14:textId="77777777" w:rsidR="005E4CC1" w:rsidRDefault="005E4CC1" w:rsidP="005E4CC1">
      <w:pPr>
        <w:widowControl w:val="0"/>
        <w:spacing w:line="278" w:lineRule="auto"/>
        <w:contextualSpacing/>
        <w:jc w:val="center"/>
      </w:pPr>
    </w:p>
    <w:p w14:paraId="55A9B359" w14:textId="77777777" w:rsidR="005E4CC1" w:rsidRDefault="005E4CC1" w:rsidP="005E4CC1">
      <w:pPr>
        <w:widowControl w:val="0"/>
        <w:spacing w:line="278" w:lineRule="auto"/>
        <w:contextualSpacing/>
        <w:jc w:val="center"/>
      </w:pPr>
    </w:p>
    <w:p w14:paraId="6EE1E73D" w14:textId="77777777" w:rsidR="005E4CC1" w:rsidRDefault="005E4CC1" w:rsidP="005E4CC1">
      <w:pPr>
        <w:widowControl w:val="0"/>
        <w:spacing w:line="278" w:lineRule="auto"/>
        <w:contextualSpacing/>
        <w:jc w:val="center"/>
      </w:pPr>
    </w:p>
    <w:p w14:paraId="6C306B7A" w14:textId="77777777" w:rsidR="005E4CC1" w:rsidRDefault="005E4CC1" w:rsidP="005E4CC1">
      <w:pPr>
        <w:widowControl w:val="0"/>
        <w:spacing w:line="278" w:lineRule="auto"/>
        <w:contextualSpacing/>
        <w:jc w:val="center"/>
      </w:pPr>
    </w:p>
    <w:p w14:paraId="1E316873" w14:textId="77777777" w:rsidR="005E4CC1" w:rsidRDefault="005E4CC1" w:rsidP="005E4CC1">
      <w:pPr>
        <w:widowControl w:val="0"/>
        <w:spacing w:line="278" w:lineRule="auto"/>
        <w:contextualSpacing/>
        <w:jc w:val="center"/>
      </w:pPr>
    </w:p>
    <w:p w14:paraId="2EAF5704" w14:textId="77777777" w:rsidR="005E4CC1" w:rsidRDefault="005E4CC1" w:rsidP="005E4CC1">
      <w:pPr>
        <w:widowControl w:val="0"/>
        <w:spacing w:line="278" w:lineRule="auto"/>
        <w:contextualSpacing/>
        <w:jc w:val="center"/>
      </w:pPr>
    </w:p>
    <w:p w14:paraId="71D94614" w14:textId="77777777" w:rsidR="005E4CC1" w:rsidRDefault="005E4CC1" w:rsidP="005E4CC1">
      <w:pPr>
        <w:widowControl w:val="0"/>
        <w:spacing w:line="278" w:lineRule="auto"/>
        <w:contextualSpacing/>
        <w:jc w:val="center"/>
      </w:pPr>
    </w:p>
    <w:p w14:paraId="55CC493D" w14:textId="77777777" w:rsidR="005E4CC1" w:rsidRDefault="005E4CC1" w:rsidP="005E4CC1">
      <w:pPr>
        <w:widowControl w:val="0"/>
        <w:spacing w:line="278" w:lineRule="auto"/>
        <w:contextualSpacing/>
        <w:jc w:val="center"/>
      </w:pPr>
    </w:p>
    <w:p w14:paraId="5EABEA47" w14:textId="77777777" w:rsidR="005E4CC1" w:rsidRDefault="005E4CC1" w:rsidP="005E4CC1">
      <w:pPr>
        <w:widowControl w:val="0"/>
        <w:spacing w:line="278" w:lineRule="auto"/>
        <w:contextualSpacing/>
        <w:jc w:val="center"/>
      </w:pPr>
    </w:p>
    <w:p w14:paraId="4A3F6A40" w14:textId="77777777" w:rsidR="005E4CC1" w:rsidRDefault="005E4CC1" w:rsidP="005E4CC1">
      <w:pPr>
        <w:widowControl w:val="0"/>
        <w:spacing w:line="278" w:lineRule="auto"/>
        <w:contextualSpacing/>
        <w:jc w:val="center"/>
      </w:pPr>
    </w:p>
    <w:p w14:paraId="7A62A704" w14:textId="77777777" w:rsidR="005E4CC1" w:rsidRDefault="005E4CC1" w:rsidP="005E4CC1">
      <w:pPr>
        <w:widowControl w:val="0"/>
        <w:spacing w:line="278" w:lineRule="auto"/>
        <w:contextualSpacing/>
        <w:jc w:val="center"/>
      </w:pPr>
    </w:p>
    <w:p w14:paraId="77988947" w14:textId="77777777" w:rsidR="005E4CC1" w:rsidRDefault="005E4CC1" w:rsidP="005E4CC1">
      <w:pPr>
        <w:widowControl w:val="0"/>
        <w:spacing w:line="278" w:lineRule="auto"/>
        <w:contextualSpacing/>
        <w:jc w:val="center"/>
      </w:pPr>
    </w:p>
    <w:p w14:paraId="2F17B97E" w14:textId="77777777" w:rsidR="005E4CC1" w:rsidRDefault="005E4CC1" w:rsidP="005E4CC1">
      <w:pPr>
        <w:widowControl w:val="0"/>
        <w:spacing w:line="278" w:lineRule="auto"/>
        <w:contextualSpacing/>
        <w:jc w:val="center"/>
      </w:pPr>
    </w:p>
    <w:p w14:paraId="2D6C4230" w14:textId="77777777" w:rsidR="005E4CC1" w:rsidRDefault="005E4CC1" w:rsidP="005E4CC1">
      <w:pPr>
        <w:widowControl w:val="0"/>
        <w:spacing w:line="278" w:lineRule="auto"/>
        <w:contextualSpacing/>
        <w:jc w:val="center"/>
      </w:pPr>
    </w:p>
    <w:p w14:paraId="3AD8DEB9" w14:textId="77777777" w:rsidR="005E4CC1" w:rsidRDefault="005E4CC1" w:rsidP="005E4CC1">
      <w:pPr>
        <w:widowControl w:val="0"/>
        <w:spacing w:line="278" w:lineRule="auto"/>
        <w:contextualSpacing/>
        <w:jc w:val="center"/>
      </w:pPr>
    </w:p>
    <w:p w14:paraId="6F2985C8" w14:textId="77777777" w:rsidR="005E4CC1" w:rsidRDefault="005E4CC1" w:rsidP="005E4CC1">
      <w:pPr>
        <w:widowControl w:val="0"/>
        <w:spacing w:line="278" w:lineRule="auto"/>
        <w:contextualSpacing/>
        <w:jc w:val="center"/>
      </w:pPr>
    </w:p>
    <w:p w14:paraId="01E34B70" w14:textId="77777777" w:rsidR="005E4CC1" w:rsidRDefault="005E4CC1" w:rsidP="005E4CC1">
      <w:pPr>
        <w:widowControl w:val="0"/>
        <w:spacing w:line="278" w:lineRule="auto"/>
        <w:contextualSpacing/>
        <w:jc w:val="center"/>
      </w:pPr>
    </w:p>
    <w:p w14:paraId="13B2AFAF" w14:textId="77777777" w:rsidR="005E4CC1" w:rsidRDefault="005E4CC1" w:rsidP="005E4CC1">
      <w:pPr>
        <w:widowControl w:val="0"/>
        <w:spacing w:line="278" w:lineRule="auto"/>
        <w:contextualSpacing/>
        <w:jc w:val="center"/>
      </w:pPr>
    </w:p>
    <w:p w14:paraId="36E9B9DD" w14:textId="77777777" w:rsidR="005E4CC1" w:rsidRDefault="005E4CC1" w:rsidP="005E4CC1">
      <w:pPr>
        <w:widowControl w:val="0"/>
        <w:spacing w:line="278" w:lineRule="auto"/>
        <w:contextualSpacing/>
        <w:jc w:val="center"/>
      </w:pPr>
    </w:p>
    <w:p w14:paraId="61B61038" w14:textId="77777777" w:rsidR="005E4CC1" w:rsidRDefault="005E4CC1" w:rsidP="005E4CC1">
      <w:pPr>
        <w:widowControl w:val="0"/>
        <w:spacing w:line="278" w:lineRule="auto"/>
        <w:contextualSpacing/>
        <w:jc w:val="center"/>
      </w:pPr>
      <w:r>
        <w:lastRenderedPageBreak/>
        <w:t>FOLHA DE ROSTO</w:t>
      </w:r>
    </w:p>
    <w:p w14:paraId="2D70F3D7" w14:textId="77777777" w:rsidR="005E4CC1" w:rsidRDefault="005E4CC1" w:rsidP="005E4CC1">
      <w:pPr>
        <w:widowControl w:val="0"/>
        <w:spacing w:line="278" w:lineRule="auto"/>
        <w:contextualSpacing/>
        <w:jc w:val="center"/>
      </w:pPr>
    </w:p>
    <w:p w14:paraId="053B1AFC" w14:textId="77777777" w:rsidR="005E4CC1" w:rsidRDefault="005E4CC1" w:rsidP="005E4CC1">
      <w:pPr>
        <w:widowControl w:val="0"/>
        <w:spacing w:line="278" w:lineRule="auto"/>
        <w:contextualSpacing/>
        <w:jc w:val="center"/>
      </w:pPr>
    </w:p>
    <w:p w14:paraId="1BE31129" w14:textId="77777777" w:rsidR="005E4CC1" w:rsidRDefault="005E4CC1" w:rsidP="005E4CC1">
      <w:pPr>
        <w:widowControl w:val="0"/>
        <w:spacing w:line="278" w:lineRule="auto"/>
        <w:contextualSpacing/>
        <w:jc w:val="center"/>
      </w:pPr>
    </w:p>
    <w:p w14:paraId="740148E1" w14:textId="77777777" w:rsidR="005E4CC1" w:rsidRDefault="005E4CC1" w:rsidP="005E4CC1">
      <w:pPr>
        <w:widowControl w:val="0"/>
        <w:spacing w:line="278" w:lineRule="auto"/>
        <w:contextualSpacing/>
        <w:jc w:val="center"/>
      </w:pPr>
    </w:p>
    <w:p w14:paraId="29C1EF32" w14:textId="77777777" w:rsidR="005E4CC1" w:rsidRDefault="005E4CC1" w:rsidP="005E4CC1">
      <w:pPr>
        <w:widowControl w:val="0"/>
        <w:spacing w:line="278" w:lineRule="auto"/>
        <w:contextualSpacing/>
        <w:jc w:val="center"/>
      </w:pPr>
    </w:p>
    <w:p w14:paraId="3BE2B1EF" w14:textId="77777777" w:rsidR="005E4CC1" w:rsidRDefault="005E4CC1" w:rsidP="005E4CC1">
      <w:pPr>
        <w:widowControl w:val="0"/>
        <w:spacing w:line="278" w:lineRule="auto"/>
        <w:contextualSpacing/>
        <w:jc w:val="center"/>
      </w:pPr>
    </w:p>
    <w:p w14:paraId="27A2B072" w14:textId="77777777" w:rsidR="005E4CC1" w:rsidRDefault="005E4CC1" w:rsidP="005E4CC1">
      <w:pPr>
        <w:widowControl w:val="0"/>
        <w:spacing w:line="278" w:lineRule="auto"/>
        <w:contextualSpacing/>
        <w:jc w:val="center"/>
      </w:pPr>
    </w:p>
    <w:p w14:paraId="6F8A3B64" w14:textId="77777777" w:rsidR="005E4CC1" w:rsidRDefault="005E4CC1" w:rsidP="005E4CC1">
      <w:pPr>
        <w:widowControl w:val="0"/>
        <w:spacing w:line="278" w:lineRule="auto"/>
        <w:contextualSpacing/>
        <w:jc w:val="center"/>
      </w:pPr>
    </w:p>
    <w:p w14:paraId="40977FEB" w14:textId="77777777" w:rsidR="005E4CC1" w:rsidRDefault="005E4CC1" w:rsidP="005E4CC1">
      <w:pPr>
        <w:widowControl w:val="0"/>
        <w:spacing w:line="278" w:lineRule="auto"/>
        <w:contextualSpacing/>
        <w:jc w:val="center"/>
      </w:pPr>
    </w:p>
    <w:p w14:paraId="6BCD0F8F" w14:textId="77777777" w:rsidR="005E4CC1" w:rsidRDefault="005E4CC1" w:rsidP="005E4CC1">
      <w:pPr>
        <w:widowControl w:val="0"/>
        <w:spacing w:line="278" w:lineRule="auto"/>
        <w:contextualSpacing/>
        <w:jc w:val="center"/>
      </w:pPr>
    </w:p>
    <w:p w14:paraId="48DA6AEC" w14:textId="77777777" w:rsidR="005E4CC1" w:rsidRDefault="005E4CC1" w:rsidP="005E4CC1">
      <w:pPr>
        <w:widowControl w:val="0"/>
        <w:spacing w:line="278" w:lineRule="auto"/>
        <w:contextualSpacing/>
        <w:jc w:val="center"/>
      </w:pPr>
    </w:p>
    <w:p w14:paraId="2D53B0CB" w14:textId="77777777" w:rsidR="005E4CC1" w:rsidRDefault="005E4CC1" w:rsidP="005E4CC1">
      <w:pPr>
        <w:widowControl w:val="0"/>
        <w:spacing w:line="278" w:lineRule="auto"/>
        <w:contextualSpacing/>
        <w:jc w:val="center"/>
      </w:pPr>
    </w:p>
    <w:p w14:paraId="1168FF16" w14:textId="77777777" w:rsidR="005E4CC1" w:rsidRDefault="005E4CC1" w:rsidP="005E4CC1">
      <w:pPr>
        <w:widowControl w:val="0"/>
        <w:spacing w:line="278" w:lineRule="auto"/>
        <w:contextualSpacing/>
        <w:jc w:val="center"/>
      </w:pPr>
    </w:p>
    <w:p w14:paraId="43168943" w14:textId="77777777" w:rsidR="005E4CC1" w:rsidRDefault="005E4CC1" w:rsidP="005E4CC1">
      <w:pPr>
        <w:widowControl w:val="0"/>
        <w:spacing w:line="278" w:lineRule="auto"/>
        <w:contextualSpacing/>
        <w:jc w:val="center"/>
      </w:pPr>
    </w:p>
    <w:p w14:paraId="5F74D6FC" w14:textId="77777777" w:rsidR="005E4CC1" w:rsidRDefault="005E4CC1" w:rsidP="005E4CC1">
      <w:pPr>
        <w:widowControl w:val="0"/>
        <w:spacing w:line="278" w:lineRule="auto"/>
        <w:contextualSpacing/>
        <w:jc w:val="center"/>
      </w:pPr>
    </w:p>
    <w:p w14:paraId="60752064" w14:textId="77777777" w:rsidR="005E4CC1" w:rsidRDefault="005E4CC1" w:rsidP="005E4CC1">
      <w:pPr>
        <w:widowControl w:val="0"/>
        <w:spacing w:line="278" w:lineRule="auto"/>
        <w:contextualSpacing/>
        <w:jc w:val="center"/>
      </w:pPr>
    </w:p>
    <w:p w14:paraId="2D7B3F69" w14:textId="77777777" w:rsidR="005E4CC1" w:rsidRDefault="005E4CC1" w:rsidP="005E4CC1">
      <w:pPr>
        <w:widowControl w:val="0"/>
        <w:spacing w:line="278" w:lineRule="auto"/>
        <w:contextualSpacing/>
        <w:jc w:val="center"/>
      </w:pPr>
    </w:p>
    <w:p w14:paraId="66143790" w14:textId="77777777" w:rsidR="005E4CC1" w:rsidRDefault="005E4CC1" w:rsidP="005E4CC1">
      <w:pPr>
        <w:widowControl w:val="0"/>
        <w:spacing w:line="278" w:lineRule="auto"/>
        <w:contextualSpacing/>
        <w:jc w:val="center"/>
      </w:pPr>
    </w:p>
    <w:p w14:paraId="31C1280B" w14:textId="77777777" w:rsidR="005E4CC1" w:rsidRDefault="005E4CC1" w:rsidP="005E4CC1">
      <w:pPr>
        <w:widowControl w:val="0"/>
        <w:spacing w:line="278" w:lineRule="auto"/>
        <w:contextualSpacing/>
        <w:jc w:val="center"/>
      </w:pPr>
    </w:p>
    <w:p w14:paraId="181CBE32" w14:textId="77777777" w:rsidR="005E4CC1" w:rsidRDefault="005E4CC1" w:rsidP="005E4CC1">
      <w:pPr>
        <w:widowControl w:val="0"/>
        <w:spacing w:line="278" w:lineRule="auto"/>
        <w:contextualSpacing/>
        <w:jc w:val="center"/>
      </w:pPr>
    </w:p>
    <w:p w14:paraId="5A225A0B" w14:textId="77777777" w:rsidR="005E4CC1" w:rsidRDefault="005E4CC1" w:rsidP="005E4CC1">
      <w:pPr>
        <w:widowControl w:val="0"/>
        <w:spacing w:line="278" w:lineRule="auto"/>
        <w:contextualSpacing/>
        <w:jc w:val="center"/>
      </w:pPr>
    </w:p>
    <w:p w14:paraId="5CBE7B89" w14:textId="77777777" w:rsidR="005E4CC1" w:rsidRDefault="005E4CC1" w:rsidP="005E4CC1">
      <w:pPr>
        <w:widowControl w:val="0"/>
        <w:spacing w:line="278" w:lineRule="auto"/>
        <w:contextualSpacing/>
        <w:jc w:val="center"/>
      </w:pPr>
    </w:p>
    <w:p w14:paraId="23557358" w14:textId="77777777" w:rsidR="005E4CC1" w:rsidRDefault="005E4CC1" w:rsidP="005E4CC1">
      <w:pPr>
        <w:widowControl w:val="0"/>
        <w:spacing w:line="278" w:lineRule="auto"/>
        <w:contextualSpacing/>
        <w:jc w:val="center"/>
      </w:pPr>
    </w:p>
    <w:p w14:paraId="6F3DC62A" w14:textId="77777777" w:rsidR="005E4CC1" w:rsidRDefault="005E4CC1" w:rsidP="005E4CC1">
      <w:pPr>
        <w:widowControl w:val="0"/>
        <w:spacing w:line="278" w:lineRule="auto"/>
        <w:contextualSpacing/>
        <w:jc w:val="center"/>
      </w:pPr>
    </w:p>
    <w:p w14:paraId="7ADA36A5" w14:textId="77777777" w:rsidR="005E4CC1" w:rsidRDefault="005E4CC1" w:rsidP="005E4CC1">
      <w:pPr>
        <w:widowControl w:val="0"/>
        <w:spacing w:line="278" w:lineRule="auto"/>
        <w:contextualSpacing/>
        <w:jc w:val="center"/>
      </w:pPr>
    </w:p>
    <w:p w14:paraId="6AC07352" w14:textId="77777777" w:rsidR="005E4CC1" w:rsidRDefault="005E4CC1" w:rsidP="005E4CC1">
      <w:pPr>
        <w:widowControl w:val="0"/>
        <w:spacing w:line="278" w:lineRule="auto"/>
        <w:contextualSpacing/>
        <w:jc w:val="center"/>
      </w:pPr>
    </w:p>
    <w:p w14:paraId="65BB6325" w14:textId="77777777" w:rsidR="005E4CC1" w:rsidRDefault="005E4CC1" w:rsidP="005E4CC1">
      <w:pPr>
        <w:widowControl w:val="0"/>
        <w:spacing w:line="278" w:lineRule="auto"/>
        <w:contextualSpacing/>
        <w:jc w:val="center"/>
      </w:pPr>
    </w:p>
    <w:p w14:paraId="42943577" w14:textId="77777777" w:rsidR="005E4CC1" w:rsidRDefault="005E4CC1" w:rsidP="005E4CC1">
      <w:pPr>
        <w:widowControl w:val="0"/>
        <w:spacing w:line="278" w:lineRule="auto"/>
        <w:contextualSpacing/>
        <w:jc w:val="center"/>
      </w:pPr>
    </w:p>
    <w:p w14:paraId="3E26C5CD" w14:textId="77777777" w:rsidR="005E4CC1" w:rsidRDefault="005E4CC1" w:rsidP="005E4CC1">
      <w:pPr>
        <w:widowControl w:val="0"/>
        <w:spacing w:line="278" w:lineRule="auto"/>
        <w:contextualSpacing/>
        <w:jc w:val="center"/>
      </w:pPr>
    </w:p>
    <w:p w14:paraId="562A6060" w14:textId="77777777" w:rsidR="005E4CC1" w:rsidRDefault="005E4CC1" w:rsidP="005E4CC1">
      <w:pPr>
        <w:widowControl w:val="0"/>
        <w:spacing w:line="278" w:lineRule="auto"/>
        <w:contextualSpacing/>
        <w:jc w:val="center"/>
      </w:pPr>
    </w:p>
    <w:p w14:paraId="0FC6E265" w14:textId="77777777" w:rsidR="005E4CC1" w:rsidRDefault="005E4CC1" w:rsidP="005E4CC1">
      <w:pPr>
        <w:widowControl w:val="0"/>
        <w:spacing w:line="278" w:lineRule="auto"/>
        <w:contextualSpacing/>
        <w:jc w:val="center"/>
      </w:pPr>
    </w:p>
    <w:p w14:paraId="6F148F56" w14:textId="77777777" w:rsidR="005E4CC1" w:rsidRDefault="005E4CC1" w:rsidP="005E4CC1">
      <w:pPr>
        <w:widowControl w:val="0"/>
        <w:spacing w:line="278" w:lineRule="auto"/>
        <w:contextualSpacing/>
        <w:jc w:val="center"/>
      </w:pPr>
    </w:p>
    <w:p w14:paraId="61A69CE2" w14:textId="77777777" w:rsidR="005E4CC1" w:rsidRDefault="005E4CC1" w:rsidP="005E4CC1">
      <w:pPr>
        <w:widowControl w:val="0"/>
        <w:spacing w:line="278" w:lineRule="auto"/>
        <w:contextualSpacing/>
        <w:jc w:val="center"/>
      </w:pPr>
    </w:p>
    <w:p w14:paraId="7D0209B2" w14:textId="77777777" w:rsidR="005E4CC1" w:rsidRDefault="005E4CC1" w:rsidP="005E4CC1">
      <w:pPr>
        <w:widowControl w:val="0"/>
        <w:spacing w:line="278" w:lineRule="auto"/>
        <w:contextualSpacing/>
        <w:jc w:val="center"/>
      </w:pPr>
    </w:p>
    <w:p w14:paraId="37ABC26F" w14:textId="77777777" w:rsidR="005E4CC1" w:rsidRDefault="005E4CC1" w:rsidP="005E4CC1">
      <w:pPr>
        <w:widowControl w:val="0"/>
        <w:spacing w:line="278" w:lineRule="auto"/>
        <w:contextualSpacing/>
        <w:jc w:val="center"/>
      </w:pPr>
    </w:p>
    <w:p w14:paraId="16FE9E2A" w14:textId="77777777" w:rsidR="005E4CC1" w:rsidRDefault="005E4CC1" w:rsidP="005E4CC1">
      <w:pPr>
        <w:widowControl w:val="0"/>
        <w:spacing w:line="278" w:lineRule="auto"/>
        <w:contextualSpacing/>
        <w:jc w:val="center"/>
      </w:pPr>
    </w:p>
    <w:p w14:paraId="3133055A" w14:textId="77777777" w:rsidR="005E4CC1" w:rsidRDefault="005E4CC1" w:rsidP="005E4CC1">
      <w:pPr>
        <w:widowControl w:val="0"/>
        <w:spacing w:line="278" w:lineRule="auto"/>
        <w:contextualSpacing/>
        <w:jc w:val="center"/>
      </w:pPr>
    </w:p>
    <w:p w14:paraId="62CC293A" w14:textId="77777777" w:rsidR="005E4CC1" w:rsidRDefault="005E4CC1" w:rsidP="005E4CC1">
      <w:pPr>
        <w:widowControl w:val="0"/>
        <w:spacing w:line="278" w:lineRule="auto"/>
        <w:contextualSpacing/>
        <w:jc w:val="center"/>
      </w:pPr>
    </w:p>
    <w:p w14:paraId="10F046AF" w14:textId="77777777" w:rsidR="005E4CC1" w:rsidRDefault="005E4CC1" w:rsidP="005E4CC1">
      <w:pPr>
        <w:widowControl w:val="0"/>
        <w:spacing w:line="278" w:lineRule="auto"/>
        <w:contextualSpacing/>
        <w:jc w:val="center"/>
      </w:pPr>
    </w:p>
    <w:p w14:paraId="322CAA32" w14:textId="77777777" w:rsidR="005E4CC1" w:rsidRDefault="005E4CC1" w:rsidP="005E4CC1">
      <w:pPr>
        <w:widowControl w:val="0"/>
        <w:spacing w:line="278" w:lineRule="auto"/>
        <w:contextualSpacing/>
        <w:jc w:val="center"/>
      </w:pPr>
      <w:r>
        <w:lastRenderedPageBreak/>
        <w:t>AGRADECIMENTOS</w:t>
      </w:r>
    </w:p>
    <w:p w14:paraId="2B4267F8" w14:textId="77777777" w:rsidR="005E4CC1" w:rsidRDefault="005E4CC1" w:rsidP="005E4CC1">
      <w:pPr>
        <w:widowControl w:val="0"/>
        <w:spacing w:line="278" w:lineRule="auto"/>
        <w:contextualSpacing/>
        <w:jc w:val="center"/>
      </w:pPr>
    </w:p>
    <w:p w14:paraId="3ACE489B" w14:textId="77777777" w:rsidR="005E4CC1" w:rsidRDefault="005E4CC1" w:rsidP="005E4CC1">
      <w:pPr>
        <w:widowControl w:val="0"/>
        <w:spacing w:line="278" w:lineRule="auto"/>
        <w:contextualSpacing/>
        <w:jc w:val="center"/>
      </w:pPr>
    </w:p>
    <w:p w14:paraId="00F992D8" w14:textId="77777777" w:rsidR="005E4CC1" w:rsidRDefault="005E4CC1" w:rsidP="005E4CC1">
      <w:pPr>
        <w:widowControl w:val="0"/>
        <w:spacing w:line="278" w:lineRule="auto"/>
        <w:contextualSpacing/>
        <w:jc w:val="center"/>
      </w:pPr>
    </w:p>
    <w:p w14:paraId="1C91F313" w14:textId="77777777" w:rsidR="005E4CC1" w:rsidRDefault="005E4CC1" w:rsidP="005E4CC1">
      <w:pPr>
        <w:widowControl w:val="0"/>
        <w:spacing w:line="278" w:lineRule="auto"/>
        <w:contextualSpacing/>
        <w:jc w:val="center"/>
      </w:pPr>
    </w:p>
    <w:p w14:paraId="3C5DE5C3" w14:textId="77777777" w:rsidR="005E4CC1" w:rsidRDefault="005E4CC1" w:rsidP="005E4CC1">
      <w:pPr>
        <w:widowControl w:val="0"/>
        <w:spacing w:line="278" w:lineRule="auto"/>
        <w:contextualSpacing/>
        <w:jc w:val="center"/>
      </w:pPr>
    </w:p>
    <w:p w14:paraId="4BD2612D" w14:textId="77777777" w:rsidR="005E4CC1" w:rsidRDefault="005E4CC1" w:rsidP="005E4CC1">
      <w:pPr>
        <w:widowControl w:val="0"/>
        <w:spacing w:line="278" w:lineRule="auto"/>
        <w:contextualSpacing/>
        <w:jc w:val="center"/>
      </w:pPr>
    </w:p>
    <w:p w14:paraId="12C6E187" w14:textId="77777777" w:rsidR="005E4CC1" w:rsidRDefault="005E4CC1" w:rsidP="005E4CC1">
      <w:pPr>
        <w:widowControl w:val="0"/>
        <w:spacing w:line="278" w:lineRule="auto"/>
        <w:contextualSpacing/>
        <w:jc w:val="center"/>
      </w:pPr>
    </w:p>
    <w:p w14:paraId="49C32998" w14:textId="77777777" w:rsidR="005E4CC1" w:rsidRDefault="005E4CC1" w:rsidP="005E4CC1">
      <w:pPr>
        <w:widowControl w:val="0"/>
        <w:spacing w:line="278" w:lineRule="auto"/>
        <w:contextualSpacing/>
        <w:jc w:val="center"/>
      </w:pPr>
    </w:p>
    <w:p w14:paraId="563BCC92" w14:textId="77777777" w:rsidR="005E4CC1" w:rsidRDefault="005E4CC1" w:rsidP="005E4CC1">
      <w:pPr>
        <w:widowControl w:val="0"/>
        <w:spacing w:line="278" w:lineRule="auto"/>
        <w:contextualSpacing/>
        <w:jc w:val="center"/>
      </w:pPr>
    </w:p>
    <w:p w14:paraId="2DE2FCCF" w14:textId="77777777" w:rsidR="005E4CC1" w:rsidRDefault="005E4CC1" w:rsidP="005E4CC1">
      <w:pPr>
        <w:widowControl w:val="0"/>
        <w:spacing w:line="278" w:lineRule="auto"/>
        <w:contextualSpacing/>
        <w:jc w:val="center"/>
      </w:pPr>
    </w:p>
    <w:p w14:paraId="17A4E6A0" w14:textId="77777777" w:rsidR="005E4CC1" w:rsidRDefault="005E4CC1" w:rsidP="005E4CC1">
      <w:pPr>
        <w:widowControl w:val="0"/>
        <w:spacing w:line="278" w:lineRule="auto"/>
        <w:contextualSpacing/>
        <w:jc w:val="center"/>
      </w:pPr>
    </w:p>
    <w:p w14:paraId="520C4D60" w14:textId="77777777" w:rsidR="005E4CC1" w:rsidRDefault="005E4CC1" w:rsidP="005E4CC1">
      <w:pPr>
        <w:widowControl w:val="0"/>
        <w:spacing w:line="278" w:lineRule="auto"/>
        <w:contextualSpacing/>
        <w:jc w:val="center"/>
      </w:pPr>
    </w:p>
    <w:p w14:paraId="724E40F6" w14:textId="77777777" w:rsidR="005E4CC1" w:rsidRDefault="005E4CC1" w:rsidP="005E4CC1">
      <w:pPr>
        <w:widowControl w:val="0"/>
        <w:spacing w:line="278" w:lineRule="auto"/>
        <w:contextualSpacing/>
        <w:jc w:val="center"/>
      </w:pPr>
    </w:p>
    <w:p w14:paraId="24D2DD6A" w14:textId="77777777" w:rsidR="005E4CC1" w:rsidRDefault="005E4CC1" w:rsidP="005E4CC1">
      <w:pPr>
        <w:widowControl w:val="0"/>
        <w:spacing w:line="278" w:lineRule="auto"/>
        <w:contextualSpacing/>
        <w:jc w:val="center"/>
      </w:pPr>
    </w:p>
    <w:p w14:paraId="2CFDD4A0" w14:textId="77777777" w:rsidR="005E4CC1" w:rsidRDefault="005E4CC1" w:rsidP="005E4CC1">
      <w:pPr>
        <w:widowControl w:val="0"/>
        <w:spacing w:line="278" w:lineRule="auto"/>
        <w:contextualSpacing/>
        <w:jc w:val="center"/>
      </w:pPr>
    </w:p>
    <w:p w14:paraId="50E270DD" w14:textId="77777777" w:rsidR="005E4CC1" w:rsidRDefault="005E4CC1" w:rsidP="005E4CC1">
      <w:pPr>
        <w:widowControl w:val="0"/>
        <w:spacing w:line="278" w:lineRule="auto"/>
        <w:contextualSpacing/>
        <w:jc w:val="center"/>
      </w:pPr>
    </w:p>
    <w:p w14:paraId="0BC6C889" w14:textId="77777777" w:rsidR="005E4CC1" w:rsidRDefault="005E4CC1" w:rsidP="005E4CC1">
      <w:pPr>
        <w:widowControl w:val="0"/>
        <w:spacing w:line="278" w:lineRule="auto"/>
        <w:contextualSpacing/>
        <w:jc w:val="center"/>
      </w:pPr>
    </w:p>
    <w:p w14:paraId="1BC5AF29" w14:textId="77777777" w:rsidR="005E4CC1" w:rsidRDefault="005E4CC1" w:rsidP="005E4CC1">
      <w:pPr>
        <w:widowControl w:val="0"/>
        <w:spacing w:line="278" w:lineRule="auto"/>
        <w:contextualSpacing/>
        <w:jc w:val="center"/>
      </w:pPr>
    </w:p>
    <w:p w14:paraId="0E0291F9" w14:textId="77777777" w:rsidR="005E4CC1" w:rsidRDefault="005E4CC1" w:rsidP="005E4CC1">
      <w:pPr>
        <w:widowControl w:val="0"/>
        <w:spacing w:line="278" w:lineRule="auto"/>
        <w:contextualSpacing/>
        <w:jc w:val="center"/>
      </w:pPr>
    </w:p>
    <w:p w14:paraId="7CA7F4F3" w14:textId="77777777" w:rsidR="005E4CC1" w:rsidRDefault="005E4CC1" w:rsidP="005E4CC1">
      <w:pPr>
        <w:widowControl w:val="0"/>
        <w:spacing w:line="278" w:lineRule="auto"/>
        <w:contextualSpacing/>
        <w:jc w:val="center"/>
      </w:pPr>
    </w:p>
    <w:p w14:paraId="3CFC7491" w14:textId="77777777" w:rsidR="005E4CC1" w:rsidRDefault="005E4CC1" w:rsidP="005E4CC1">
      <w:pPr>
        <w:widowControl w:val="0"/>
        <w:spacing w:line="278" w:lineRule="auto"/>
        <w:contextualSpacing/>
        <w:jc w:val="center"/>
      </w:pPr>
    </w:p>
    <w:p w14:paraId="670522D3" w14:textId="77777777" w:rsidR="005E4CC1" w:rsidRDefault="005E4CC1" w:rsidP="005E4CC1">
      <w:pPr>
        <w:widowControl w:val="0"/>
        <w:spacing w:line="278" w:lineRule="auto"/>
        <w:contextualSpacing/>
        <w:jc w:val="center"/>
      </w:pPr>
    </w:p>
    <w:p w14:paraId="20CE4B36" w14:textId="77777777" w:rsidR="005E4CC1" w:rsidRDefault="005E4CC1" w:rsidP="005E4CC1">
      <w:pPr>
        <w:widowControl w:val="0"/>
        <w:spacing w:line="278" w:lineRule="auto"/>
        <w:contextualSpacing/>
        <w:jc w:val="center"/>
      </w:pPr>
    </w:p>
    <w:p w14:paraId="10EEF4A8" w14:textId="77777777" w:rsidR="005E4CC1" w:rsidRDefault="005E4CC1" w:rsidP="005E4CC1">
      <w:pPr>
        <w:widowControl w:val="0"/>
        <w:spacing w:line="278" w:lineRule="auto"/>
        <w:contextualSpacing/>
        <w:jc w:val="center"/>
      </w:pPr>
    </w:p>
    <w:p w14:paraId="571B3576" w14:textId="77777777" w:rsidR="005E4CC1" w:rsidRDefault="005E4CC1" w:rsidP="005E4CC1">
      <w:pPr>
        <w:widowControl w:val="0"/>
        <w:spacing w:line="278" w:lineRule="auto"/>
        <w:contextualSpacing/>
        <w:jc w:val="center"/>
      </w:pPr>
    </w:p>
    <w:p w14:paraId="035191E7" w14:textId="77777777" w:rsidR="005E4CC1" w:rsidRDefault="005E4CC1" w:rsidP="005E4CC1">
      <w:pPr>
        <w:widowControl w:val="0"/>
        <w:spacing w:line="278" w:lineRule="auto"/>
        <w:contextualSpacing/>
        <w:jc w:val="center"/>
      </w:pPr>
    </w:p>
    <w:p w14:paraId="04BA8B3D" w14:textId="77777777" w:rsidR="005E4CC1" w:rsidRDefault="005E4CC1" w:rsidP="005E4CC1">
      <w:pPr>
        <w:widowControl w:val="0"/>
        <w:spacing w:line="278" w:lineRule="auto"/>
        <w:contextualSpacing/>
        <w:jc w:val="center"/>
      </w:pPr>
    </w:p>
    <w:p w14:paraId="54313B98" w14:textId="77777777" w:rsidR="005E4CC1" w:rsidRDefault="005E4CC1" w:rsidP="005E4CC1">
      <w:pPr>
        <w:widowControl w:val="0"/>
        <w:spacing w:line="278" w:lineRule="auto"/>
        <w:contextualSpacing/>
        <w:jc w:val="center"/>
      </w:pPr>
    </w:p>
    <w:p w14:paraId="389E66D0" w14:textId="77777777" w:rsidR="005E4CC1" w:rsidRDefault="005E4CC1" w:rsidP="005E4CC1">
      <w:pPr>
        <w:widowControl w:val="0"/>
        <w:spacing w:line="278" w:lineRule="auto"/>
        <w:contextualSpacing/>
        <w:jc w:val="center"/>
      </w:pPr>
    </w:p>
    <w:p w14:paraId="00E63AB8" w14:textId="77777777" w:rsidR="005E4CC1" w:rsidRDefault="005E4CC1" w:rsidP="005E4CC1">
      <w:pPr>
        <w:widowControl w:val="0"/>
        <w:spacing w:line="278" w:lineRule="auto"/>
        <w:contextualSpacing/>
        <w:jc w:val="center"/>
      </w:pPr>
    </w:p>
    <w:p w14:paraId="6394F76A" w14:textId="77777777" w:rsidR="005E4CC1" w:rsidRDefault="005E4CC1" w:rsidP="005E4CC1">
      <w:pPr>
        <w:widowControl w:val="0"/>
        <w:spacing w:line="278" w:lineRule="auto"/>
        <w:contextualSpacing/>
        <w:jc w:val="center"/>
      </w:pPr>
    </w:p>
    <w:p w14:paraId="2CA22905" w14:textId="77777777" w:rsidR="005E4CC1" w:rsidRDefault="005E4CC1" w:rsidP="005E4CC1">
      <w:pPr>
        <w:widowControl w:val="0"/>
        <w:spacing w:line="278" w:lineRule="auto"/>
        <w:contextualSpacing/>
        <w:jc w:val="center"/>
      </w:pPr>
    </w:p>
    <w:p w14:paraId="4CF994FF" w14:textId="77777777" w:rsidR="005E4CC1" w:rsidRDefault="005E4CC1" w:rsidP="005E4CC1">
      <w:pPr>
        <w:widowControl w:val="0"/>
        <w:spacing w:line="278" w:lineRule="auto"/>
        <w:contextualSpacing/>
        <w:jc w:val="center"/>
      </w:pPr>
    </w:p>
    <w:p w14:paraId="32477B55" w14:textId="77777777" w:rsidR="005E4CC1" w:rsidRDefault="005E4CC1" w:rsidP="005E4CC1">
      <w:pPr>
        <w:widowControl w:val="0"/>
        <w:spacing w:line="278" w:lineRule="auto"/>
        <w:contextualSpacing/>
        <w:jc w:val="center"/>
      </w:pPr>
    </w:p>
    <w:p w14:paraId="45CBA853" w14:textId="77777777" w:rsidR="005E4CC1" w:rsidRDefault="005E4CC1" w:rsidP="005E4CC1">
      <w:pPr>
        <w:widowControl w:val="0"/>
        <w:spacing w:line="278" w:lineRule="auto"/>
        <w:contextualSpacing/>
        <w:jc w:val="center"/>
      </w:pPr>
    </w:p>
    <w:p w14:paraId="34554CE1" w14:textId="77777777" w:rsidR="005E4CC1" w:rsidRDefault="005E4CC1" w:rsidP="005E4CC1">
      <w:pPr>
        <w:widowControl w:val="0"/>
        <w:spacing w:line="278" w:lineRule="auto"/>
        <w:contextualSpacing/>
        <w:jc w:val="center"/>
      </w:pPr>
    </w:p>
    <w:p w14:paraId="247548CF" w14:textId="77777777" w:rsidR="005E4CC1" w:rsidRDefault="005E4CC1" w:rsidP="005E4CC1">
      <w:pPr>
        <w:widowControl w:val="0"/>
        <w:spacing w:line="278" w:lineRule="auto"/>
        <w:contextualSpacing/>
        <w:jc w:val="center"/>
      </w:pPr>
    </w:p>
    <w:p w14:paraId="1334C495" w14:textId="77777777" w:rsidR="005E4CC1" w:rsidRDefault="005E4CC1" w:rsidP="005E4CC1">
      <w:pPr>
        <w:widowControl w:val="0"/>
        <w:spacing w:line="278" w:lineRule="auto"/>
        <w:contextualSpacing/>
        <w:jc w:val="center"/>
      </w:pPr>
    </w:p>
    <w:p w14:paraId="71E39A21" w14:textId="77777777" w:rsidR="005E4CC1" w:rsidRDefault="005E4CC1" w:rsidP="005E4CC1">
      <w:pPr>
        <w:widowControl w:val="0"/>
        <w:spacing w:line="278" w:lineRule="auto"/>
        <w:contextualSpacing/>
        <w:jc w:val="center"/>
      </w:pPr>
    </w:p>
    <w:p w14:paraId="3C0E1736" w14:textId="77777777" w:rsidR="005E4CC1" w:rsidRDefault="005E4CC1" w:rsidP="005E4CC1">
      <w:pPr>
        <w:widowControl w:val="0"/>
        <w:spacing w:line="278" w:lineRule="auto"/>
        <w:contextualSpacing/>
        <w:jc w:val="center"/>
      </w:pPr>
      <w:r>
        <w:lastRenderedPageBreak/>
        <w:t>RESUMO</w:t>
      </w:r>
    </w:p>
    <w:p w14:paraId="417D305B" w14:textId="77777777" w:rsidR="005E4CC1" w:rsidRDefault="005E4CC1" w:rsidP="005E4CC1">
      <w:pPr>
        <w:widowControl w:val="0"/>
        <w:spacing w:line="278" w:lineRule="auto"/>
        <w:contextualSpacing/>
        <w:jc w:val="center"/>
      </w:pPr>
    </w:p>
    <w:p w14:paraId="09C5E72C" w14:textId="77777777" w:rsidR="005E4CC1" w:rsidRDefault="005E4CC1" w:rsidP="005E4CC1">
      <w:pPr>
        <w:widowControl w:val="0"/>
        <w:spacing w:line="278" w:lineRule="auto"/>
        <w:contextualSpacing/>
        <w:jc w:val="center"/>
      </w:pPr>
    </w:p>
    <w:p w14:paraId="6CE5B8EB" w14:textId="77777777" w:rsidR="005E4CC1" w:rsidRDefault="005E4CC1" w:rsidP="005E4CC1">
      <w:pPr>
        <w:widowControl w:val="0"/>
        <w:spacing w:line="278" w:lineRule="auto"/>
        <w:contextualSpacing/>
        <w:jc w:val="center"/>
      </w:pPr>
    </w:p>
    <w:p w14:paraId="0476929F" w14:textId="77777777" w:rsidR="005E4CC1" w:rsidRDefault="005E4CC1" w:rsidP="005E4CC1">
      <w:pPr>
        <w:widowControl w:val="0"/>
        <w:spacing w:line="278" w:lineRule="auto"/>
        <w:contextualSpacing/>
        <w:jc w:val="center"/>
      </w:pPr>
    </w:p>
    <w:p w14:paraId="59A42139" w14:textId="77777777" w:rsidR="005E4CC1" w:rsidRDefault="005E4CC1" w:rsidP="005E4CC1">
      <w:pPr>
        <w:widowControl w:val="0"/>
        <w:spacing w:line="278" w:lineRule="auto"/>
        <w:contextualSpacing/>
        <w:jc w:val="center"/>
      </w:pPr>
    </w:p>
    <w:p w14:paraId="4D501A24" w14:textId="77777777" w:rsidR="005E4CC1" w:rsidRDefault="005E4CC1" w:rsidP="005E4CC1">
      <w:pPr>
        <w:widowControl w:val="0"/>
        <w:spacing w:line="278" w:lineRule="auto"/>
        <w:contextualSpacing/>
        <w:jc w:val="center"/>
      </w:pPr>
    </w:p>
    <w:p w14:paraId="6448CB76" w14:textId="77777777" w:rsidR="005E4CC1" w:rsidRDefault="005E4CC1" w:rsidP="005E4CC1">
      <w:pPr>
        <w:widowControl w:val="0"/>
        <w:spacing w:line="278" w:lineRule="auto"/>
        <w:contextualSpacing/>
        <w:jc w:val="center"/>
      </w:pPr>
    </w:p>
    <w:p w14:paraId="71892D7A" w14:textId="77777777" w:rsidR="005E4CC1" w:rsidRDefault="005E4CC1" w:rsidP="005E4CC1">
      <w:pPr>
        <w:widowControl w:val="0"/>
        <w:spacing w:line="278" w:lineRule="auto"/>
        <w:contextualSpacing/>
        <w:jc w:val="center"/>
      </w:pPr>
    </w:p>
    <w:p w14:paraId="1812C3BE" w14:textId="77777777" w:rsidR="005E4CC1" w:rsidRDefault="005E4CC1" w:rsidP="005E4CC1">
      <w:pPr>
        <w:widowControl w:val="0"/>
        <w:spacing w:line="278" w:lineRule="auto"/>
        <w:contextualSpacing/>
        <w:jc w:val="center"/>
      </w:pPr>
    </w:p>
    <w:p w14:paraId="5518229C" w14:textId="77777777" w:rsidR="005E4CC1" w:rsidRDefault="005E4CC1" w:rsidP="005E4CC1">
      <w:pPr>
        <w:widowControl w:val="0"/>
        <w:spacing w:line="278" w:lineRule="auto"/>
        <w:contextualSpacing/>
        <w:jc w:val="center"/>
      </w:pPr>
    </w:p>
    <w:p w14:paraId="566B1D57" w14:textId="77777777" w:rsidR="005E4CC1" w:rsidRDefault="005E4CC1" w:rsidP="005E4CC1">
      <w:pPr>
        <w:widowControl w:val="0"/>
        <w:spacing w:line="278" w:lineRule="auto"/>
        <w:contextualSpacing/>
        <w:jc w:val="center"/>
      </w:pPr>
    </w:p>
    <w:p w14:paraId="5CF0C0A1" w14:textId="77777777" w:rsidR="005E4CC1" w:rsidRDefault="005E4CC1" w:rsidP="005E4CC1">
      <w:pPr>
        <w:widowControl w:val="0"/>
        <w:spacing w:line="278" w:lineRule="auto"/>
        <w:contextualSpacing/>
        <w:jc w:val="center"/>
      </w:pPr>
    </w:p>
    <w:p w14:paraId="6B1D5DAD" w14:textId="77777777" w:rsidR="005E4CC1" w:rsidRDefault="005E4CC1" w:rsidP="005E4CC1">
      <w:pPr>
        <w:widowControl w:val="0"/>
        <w:spacing w:line="278" w:lineRule="auto"/>
        <w:contextualSpacing/>
        <w:jc w:val="center"/>
      </w:pPr>
    </w:p>
    <w:p w14:paraId="697409EA" w14:textId="77777777" w:rsidR="005E4CC1" w:rsidRDefault="005E4CC1" w:rsidP="005E4CC1">
      <w:pPr>
        <w:widowControl w:val="0"/>
        <w:spacing w:line="278" w:lineRule="auto"/>
        <w:contextualSpacing/>
        <w:jc w:val="center"/>
      </w:pPr>
    </w:p>
    <w:p w14:paraId="48CBEA14" w14:textId="77777777" w:rsidR="005E4CC1" w:rsidRDefault="005E4CC1" w:rsidP="005E4CC1">
      <w:pPr>
        <w:widowControl w:val="0"/>
        <w:spacing w:line="278" w:lineRule="auto"/>
        <w:contextualSpacing/>
        <w:jc w:val="center"/>
      </w:pPr>
    </w:p>
    <w:p w14:paraId="133BD41D" w14:textId="77777777" w:rsidR="005E4CC1" w:rsidRDefault="005E4CC1" w:rsidP="005E4CC1">
      <w:pPr>
        <w:widowControl w:val="0"/>
        <w:spacing w:line="278" w:lineRule="auto"/>
        <w:contextualSpacing/>
        <w:jc w:val="center"/>
      </w:pPr>
    </w:p>
    <w:p w14:paraId="6B641F29" w14:textId="77777777" w:rsidR="005E4CC1" w:rsidRDefault="005E4CC1" w:rsidP="005E4CC1">
      <w:pPr>
        <w:widowControl w:val="0"/>
        <w:spacing w:line="278" w:lineRule="auto"/>
        <w:contextualSpacing/>
        <w:jc w:val="center"/>
      </w:pPr>
    </w:p>
    <w:p w14:paraId="264D1578" w14:textId="77777777" w:rsidR="005E4CC1" w:rsidRDefault="005E4CC1" w:rsidP="005E4CC1">
      <w:pPr>
        <w:widowControl w:val="0"/>
        <w:spacing w:line="278" w:lineRule="auto"/>
        <w:contextualSpacing/>
        <w:jc w:val="center"/>
      </w:pPr>
    </w:p>
    <w:p w14:paraId="2B633B20" w14:textId="77777777" w:rsidR="005E4CC1" w:rsidRDefault="005E4CC1" w:rsidP="005E4CC1">
      <w:pPr>
        <w:widowControl w:val="0"/>
        <w:spacing w:line="278" w:lineRule="auto"/>
        <w:contextualSpacing/>
        <w:jc w:val="center"/>
      </w:pPr>
    </w:p>
    <w:p w14:paraId="6298A349" w14:textId="77777777" w:rsidR="005E4CC1" w:rsidRDefault="005E4CC1" w:rsidP="005E4CC1">
      <w:pPr>
        <w:widowControl w:val="0"/>
        <w:spacing w:line="278" w:lineRule="auto"/>
        <w:contextualSpacing/>
        <w:jc w:val="center"/>
      </w:pPr>
    </w:p>
    <w:p w14:paraId="36A70185" w14:textId="77777777" w:rsidR="005E4CC1" w:rsidRDefault="005E4CC1" w:rsidP="005E4CC1">
      <w:pPr>
        <w:widowControl w:val="0"/>
        <w:spacing w:line="278" w:lineRule="auto"/>
        <w:contextualSpacing/>
        <w:jc w:val="center"/>
      </w:pPr>
    </w:p>
    <w:p w14:paraId="458E57F7" w14:textId="77777777" w:rsidR="005E4CC1" w:rsidRDefault="005E4CC1" w:rsidP="005E4CC1">
      <w:pPr>
        <w:widowControl w:val="0"/>
        <w:spacing w:line="278" w:lineRule="auto"/>
        <w:contextualSpacing/>
        <w:jc w:val="center"/>
      </w:pPr>
    </w:p>
    <w:p w14:paraId="7E7011B1" w14:textId="77777777" w:rsidR="005E4CC1" w:rsidRDefault="005E4CC1" w:rsidP="005E4CC1">
      <w:pPr>
        <w:widowControl w:val="0"/>
        <w:spacing w:line="278" w:lineRule="auto"/>
        <w:contextualSpacing/>
        <w:jc w:val="center"/>
      </w:pPr>
    </w:p>
    <w:p w14:paraId="06B3C71F" w14:textId="77777777" w:rsidR="005E4CC1" w:rsidRDefault="005E4CC1" w:rsidP="005E4CC1">
      <w:pPr>
        <w:widowControl w:val="0"/>
        <w:spacing w:line="278" w:lineRule="auto"/>
        <w:contextualSpacing/>
        <w:jc w:val="center"/>
      </w:pPr>
    </w:p>
    <w:p w14:paraId="781FCC45" w14:textId="77777777" w:rsidR="005E4CC1" w:rsidRDefault="005E4CC1" w:rsidP="005E4CC1">
      <w:pPr>
        <w:widowControl w:val="0"/>
        <w:spacing w:line="278" w:lineRule="auto"/>
        <w:contextualSpacing/>
        <w:jc w:val="center"/>
      </w:pPr>
    </w:p>
    <w:p w14:paraId="68680BE0" w14:textId="77777777" w:rsidR="005E4CC1" w:rsidRDefault="005E4CC1" w:rsidP="005E4CC1">
      <w:pPr>
        <w:widowControl w:val="0"/>
        <w:spacing w:line="278" w:lineRule="auto"/>
        <w:contextualSpacing/>
        <w:jc w:val="center"/>
      </w:pPr>
    </w:p>
    <w:p w14:paraId="6385CDE2" w14:textId="77777777" w:rsidR="005E4CC1" w:rsidRDefault="005E4CC1" w:rsidP="005E4CC1">
      <w:pPr>
        <w:widowControl w:val="0"/>
        <w:spacing w:line="278" w:lineRule="auto"/>
        <w:contextualSpacing/>
        <w:jc w:val="center"/>
      </w:pPr>
    </w:p>
    <w:p w14:paraId="4DC530AA" w14:textId="77777777" w:rsidR="005E4CC1" w:rsidRDefault="005E4CC1" w:rsidP="005E4CC1">
      <w:pPr>
        <w:widowControl w:val="0"/>
        <w:spacing w:line="278" w:lineRule="auto"/>
        <w:contextualSpacing/>
        <w:jc w:val="center"/>
      </w:pPr>
    </w:p>
    <w:p w14:paraId="1E76414E" w14:textId="77777777" w:rsidR="005E4CC1" w:rsidRDefault="005E4CC1" w:rsidP="005E4CC1">
      <w:pPr>
        <w:widowControl w:val="0"/>
        <w:spacing w:line="278" w:lineRule="auto"/>
        <w:contextualSpacing/>
        <w:jc w:val="center"/>
      </w:pPr>
    </w:p>
    <w:p w14:paraId="4CEE5670" w14:textId="77777777" w:rsidR="005E4CC1" w:rsidRDefault="005E4CC1" w:rsidP="005E4CC1">
      <w:pPr>
        <w:widowControl w:val="0"/>
        <w:spacing w:line="278" w:lineRule="auto"/>
        <w:contextualSpacing/>
        <w:jc w:val="center"/>
      </w:pPr>
    </w:p>
    <w:p w14:paraId="6031BC7E" w14:textId="77777777" w:rsidR="005E4CC1" w:rsidRDefault="005E4CC1" w:rsidP="005E4CC1">
      <w:pPr>
        <w:widowControl w:val="0"/>
        <w:spacing w:line="278" w:lineRule="auto"/>
        <w:contextualSpacing/>
        <w:jc w:val="center"/>
      </w:pPr>
    </w:p>
    <w:p w14:paraId="2ECFDD80" w14:textId="77777777" w:rsidR="005E4CC1" w:rsidRDefault="005E4CC1" w:rsidP="005E4CC1">
      <w:pPr>
        <w:widowControl w:val="0"/>
        <w:spacing w:line="278" w:lineRule="auto"/>
        <w:contextualSpacing/>
        <w:jc w:val="center"/>
      </w:pPr>
    </w:p>
    <w:p w14:paraId="5058D324" w14:textId="77777777" w:rsidR="005E4CC1" w:rsidRDefault="005E4CC1" w:rsidP="005E4CC1">
      <w:pPr>
        <w:widowControl w:val="0"/>
        <w:spacing w:line="278" w:lineRule="auto"/>
        <w:contextualSpacing/>
        <w:jc w:val="center"/>
      </w:pPr>
    </w:p>
    <w:p w14:paraId="3CA03902" w14:textId="77777777" w:rsidR="005E4CC1" w:rsidRDefault="005E4CC1" w:rsidP="005E4CC1">
      <w:pPr>
        <w:widowControl w:val="0"/>
        <w:spacing w:line="278" w:lineRule="auto"/>
        <w:contextualSpacing/>
        <w:jc w:val="center"/>
      </w:pPr>
    </w:p>
    <w:p w14:paraId="4E32928E" w14:textId="77777777" w:rsidR="005E4CC1" w:rsidRDefault="005E4CC1" w:rsidP="005E4CC1">
      <w:pPr>
        <w:widowControl w:val="0"/>
        <w:spacing w:line="278" w:lineRule="auto"/>
        <w:contextualSpacing/>
        <w:jc w:val="center"/>
      </w:pPr>
    </w:p>
    <w:p w14:paraId="2F161B39" w14:textId="77777777" w:rsidR="005E4CC1" w:rsidRDefault="005E4CC1" w:rsidP="005E4CC1">
      <w:pPr>
        <w:widowControl w:val="0"/>
        <w:spacing w:line="278" w:lineRule="auto"/>
        <w:contextualSpacing/>
        <w:jc w:val="center"/>
      </w:pPr>
    </w:p>
    <w:p w14:paraId="0A887BE2" w14:textId="77777777" w:rsidR="005E4CC1" w:rsidRDefault="005E4CC1" w:rsidP="005E4CC1">
      <w:pPr>
        <w:widowControl w:val="0"/>
        <w:spacing w:line="278" w:lineRule="auto"/>
        <w:contextualSpacing/>
        <w:jc w:val="center"/>
      </w:pPr>
    </w:p>
    <w:p w14:paraId="34769DD0" w14:textId="77777777" w:rsidR="005E4CC1" w:rsidRDefault="005E4CC1" w:rsidP="005E4CC1">
      <w:pPr>
        <w:widowControl w:val="0"/>
        <w:spacing w:line="278" w:lineRule="auto"/>
        <w:contextualSpacing/>
        <w:jc w:val="center"/>
      </w:pPr>
    </w:p>
    <w:p w14:paraId="66D2DD30" w14:textId="77777777" w:rsidR="005E4CC1" w:rsidRDefault="005E4CC1" w:rsidP="005E4CC1">
      <w:pPr>
        <w:widowControl w:val="0"/>
        <w:spacing w:line="278" w:lineRule="auto"/>
        <w:contextualSpacing/>
        <w:jc w:val="center"/>
      </w:pPr>
    </w:p>
    <w:p w14:paraId="26F9F0EA" w14:textId="01FB62BE" w:rsidR="005E4CC1" w:rsidRDefault="005E4CC1" w:rsidP="005E4CC1">
      <w:pPr>
        <w:widowControl w:val="0"/>
        <w:spacing w:line="278" w:lineRule="auto"/>
        <w:contextualSpacing/>
        <w:jc w:val="center"/>
      </w:pPr>
      <w:r>
        <w:lastRenderedPageBreak/>
        <w:t>ABSTRACT</w:t>
      </w:r>
      <w:r>
        <w:br w:type="page"/>
      </w:r>
    </w:p>
    <w:p w14:paraId="77AA4374" w14:textId="238B02DF" w:rsidR="00465C19" w:rsidRDefault="00465C19" w:rsidP="008C05D2">
      <w:pPr>
        <w:pStyle w:val="Ttulo1"/>
      </w:pPr>
      <w:r>
        <w:lastRenderedPageBreak/>
        <w:t>INTRODUÇÃO</w:t>
      </w:r>
    </w:p>
    <w:p w14:paraId="109C3657" w14:textId="77777777" w:rsidR="00035090" w:rsidRDefault="00035090" w:rsidP="00035090">
      <w:pPr>
        <w:ind w:left="3969"/>
      </w:pPr>
    </w:p>
    <w:p w14:paraId="53DD5490" w14:textId="77777777" w:rsidR="00035090" w:rsidRDefault="00035090" w:rsidP="00035090">
      <w:pPr>
        <w:ind w:left="3969"/>
      </w:pPr>
    </w:p>
    <w:p w14:paraId="3D45BF59" w14:textId="027B0A35" w:rsidR="003A4D7D" w:rsidRPr="00CA6B30" w:rsidRDefault="003A4D7D" w:rsidP="00CA6B30">
      <w:pPr>
        <w:ind w:left="1560"/>
        <w:jc w:val="right"/>
        <w:rPr>
          <w:b/>
          <w:bCs/>
          <w:i/>
          <w:iCs/>
        </w:rPr>
      </w:pPr>
      <w:r w:rsidRPr="00CA6B30">
        <w:rPr>
          <w:b/>
          <w:bCs/>
          <w:i/>
          <w:iCs/>
        </w:rPr>
        <w:t>{</w:t>
      </w:r>
      <w:proofErr w:type="spellStart"/>
      <w:r w:rsidRPr="00CA6B30">
        <w:rPr>
          <w:b/>
          <w:bCs/>
          <w:i/>
          <w:iCs/>
        </w:rPr>
        <w:t>placeholder</w:t>
      </w:r>
      <w:proofErr w:type="spellEnd"/>
      <w:r w:rsidR="00CA6B30" w:rsidRPr="00CA6B30">
        <w:rPr>
          <w:b/>
          <w:bCs/>
          <w:i/>
          <w:iCs/>
        </w:rPr>
        <w:t xml:space="preserve"> para rir um pouco toda vez que abrir para escrever</w:t>
      </w:r>
      <w:r w:rsidRPr="00CA6B30">
        <w:rPr>
          <w:b/>
          <w:bCs/>
          <w:i/>
          <w:iCs/>
        </w:rPr>
        <w:t xml:space="preserve">} </w:t>
      </w:r>
    </w:p>
    <w:p w14:paraId="625BD47D" w14:textId="0BCC3215" w:rsidR="00035090" w:rsidRPr="003A4D7D" w:rsidRDefault="00035090" w:rsidP="00035090">
      <w:pPr>
        <w:ind w:left="3969"/>
        <w:jc w:val="right"/>
        <w:rPr>
          <w:i/>
          <w:iCs/>
        </w:rPr>
      </w:pPr>
      <w:r w:rsidRPr="003A4D7D">
        <w:rPr>
          <w:i/>
          <w:iCs/>
        </w:rPr>
        <w:t xml:space="preserve">No início, o Universo foi criado. Isso irritou profundamente muitas pessoas e, no geral, foi encarado como uma péssima </w:t>
      </w:r>
      <w:r w:rsidR="00CA6B30" w:rsidRPr="003A4D7D">
        <w:rPr>
          <w:i/>
          <w:iCs/>
        </w:rPr>
        <w:t>ideia</w:t>
      </w:r>
      <w:r w:rsidRPr="003A4D7D">
        <w:rPr>
          <w:i/>
          <w:iCs/>
        </w:rPr>
        <w:t>.</w:t>
      </w:r>
    </w:p>
    <w:p w14:paraId="210264FA" w14:textId="2A7B326D" w:rsidR="00035090" w:rsidRPr="003A4D7D" w:rsidRDefault="00035090" w:rsidP="00035090">
      <w:pPr>
        <w:ind w:left="3969"/>
        <w:jc w:val="right"/>
        <w:rPr>
          <w:i/>
          <w:iCs/>
        </w:rPr>
      </w:pPr>
      <w:r w:rsidRPr="003A4D7D">
        <w:rPr>
          <w:i/>
          <w:iCs/>
        </w:rPr>
        <w:fldChar w:fldCharType="begin"/>
      </w:r>
      <w:r w:rsidRPr="003A4D7D">
        <w:rPr>
          <w:i/>
          <w:iCs/>
        </w:rPr>
        <w:instrText xml:space="preserve"> ADDIN ZOTERO_ITEM CSL_CITATION {"citationID":"UvxYGTUP","properties":{"formattedCitation":"(Adams, 2019)","plainCitation":"(Adams, 2019)","noteIndex":0},"citationItems":[{"id":3602,"uris":["http://zotero.org/users/7052761/items/XUGIMV4E"],"itemData":{"id":3602,"type":"book","ISBN":"978-85-306-0149-2","language":"pt-BR","publisher":"Douglas Adams","source":"Câmara Brasileira do Livro ISBN","title":"O Guia Definitivo do Mochileiro das Galaxias","author":[{"family":"Adams","given":"Douglas"}],"issued":{"date-parts":[["2019",11,16]]}}}],"schema":"https://github.com/citation-style-language/schema/raw/master/csl-citation.json"} </w:instrText>
      </w:r>
      <w:r w:rsidRPr="003A4D7D">
        <w:rPr>
          <w:i/>
          <w:iCs/>
        </w:rPr>
        <w:fldChar w:fldCharType="separate"/>
      </w:r>
      <w:r w:rsidR="007F237D" w:rsidRPr="007F237D">
        <w:rPr>
          <w:rFonts w:cs="Arial"/>
        </w:rPr>
        <w:t>(Adams, 2019)</w:t>
      </w:r>
      <w:r w:rsidRPr="003A4D7D">
        <w:rPr>
          <w:i/>
          <w:iCs/>
        </w:rPr>
        <w:fldChar w:fldCharType="end"/>
      </w:r>
    </w:p>
    <w:p w14:paraId="5CCBC956" w14:textId="77777777" w:rsidR="00CA6B30" w:rsidRPr="00CA6B30" w:rsidRDefault="00CA6B30" w:rsidP="00CA6B30">
      <w:pPr>
        <w:ind w:left="1560"/>
        <w:jc w:val="right"/>
        <w:rPr>
          <w:b/>
          <w:bCs/>
          <w:i/>
          <w:iCs/>
        </w:rPr>
      </w:pPr>
      <w:r w:rsidRPr="00CA6B30">
        <w:rPr>
          <w:b/>
          <w:bCs/>
          <w:i/>
          <w:iCs/>
        </w:rPr>
        <w:t>{</w:t>
      </w:r>
      <w:proofErr w:type="spellStart"/>
      <w:r w:rsidRPr="00CA6B30">
        <w:rPr>
          <w:b/>
          <w:bCs/>
          <w:i/>
          <w:iCs/>
        </w:rPr>
        <w:t>placeholder</w:t>
      </w:r>
      <w:proofErr w:type="spellEnd"/>
      <w:r w:rsidRPr="00CA6B30">
        <w:rPr>
          <w:b/>
          <w:bCs/>
          <w:i/>
          <w:iCs/>
        </w:rPr>
        <w:t xml:space="preserve"> para rir um pouco toda vez que abrir para escrever} </w:t>
      </w:r>
    </w:p>
    <w:p w14:paraId="5D30B1BB" w14:textId="77777777" w:rsidR="00462D8B" w:rsidRDefault="00462D8B" w:rsidP="00462D8B"/>
    <w:p w14:paraId="51F8CFF1" w14:textId="77777777" w:rsidR="002F6043" w:rsidRDefault="002F6043" w:rsidP="00351C49">
      <w:pPr>
        <w:pStyle w:val="Ttulo2"/>
      </w:pPr>
      <w:r>
        <w:t>A memória como o arcabouço do tempo e espaço subjetivos</w:t>
      </w:r>
    </w:p>
    <w:p w14:paraId="514E23CC" w14:textId="77777777" w:rsidR="002F6043" w:rsidRDefault="002F6043" w:rsidP="002F6043"/>
    <w:p w14:paraId="79DE7246" w14:textId="58097EBA" w:rsidR="004734E5" w:rsidRDefault="002F6043" w:rsidP="002F6043">
      <w:pPr>
        <w:ind w:firstLine="720"/>
      </w:pPr>
      <w:r>
        <w:t xml:space="preserve">O processo de aprendizagem e percepção de si, do outro e do mundo ao redor é um fenômeno que está ligado ao mesmo tempo a eventos passados, experiências presentes e eventualmente às mudanças de comportamentos futuros </w:t>
      </w:r>
      <w:r>
        <w:fldChar w:fldCharType="begin"/>
      </w:r>
      <w:r w:rsidR="007F237D">
        <w:instrText xml:space="preserve"> ADDIN ZOTERO_ITEM CSL_CITATION {"citationID":"y5iuneqK","properties":{"formattedCitation":"(Dudai, 2002; Fivush &amp; Grysman, 2023; Kandel et al., 2021)","plainCitation":"(Dudai, 2002; Fivush &amp; Grysman, 2023; Kandel et al., 2021)","noteIndex":0},"citationItems":[{"id":3594,"uris":["http://zotero.org/users/7052761/items/GBX3B3DA"],"itemData":{"id":3594,"type":"book","abstract":"\"This is a companion to the language of memory research. It consists of over 130 entries, bound within a coherent conceptual framework. Each entry starts with a definition, or a set of definitions, followed by in-depth and provocative discussion of the origin, meaning, usage and applicability of ideas and problems central to the neuroscience of memory and scientific culture at large. The entries, linked by webs of associations, can be read and enjoyed, and provide a versatile tool kit: a source for definitions, information and further reading; a trigger for contemplation, discussion and experimentation; and an aid to study, teaching and debate in classes and seminars. The text is supported by an extensive reference listing, and there is a comprehensive subject index, incorporating a much wider range of terms relevant to the field.\" \"Memory from A to Z provides a unique, highly valuable introduction to the field of memory for students and researchers approaching the subject for the first time, while at the same time serving and stimulating the more experienced.\"--Jacket","event-place":"Oxford","ISBN":"978-1-4175-9948-6","language":"eng","number-of-pages":"1","publisher":"Oxford University Press","publisher-place":"Oxford","source":"K10plus ISBN","title":"Memory from A to Z: keywords, concepts, and beyond","title-short":"Memory from A to Z","editor":[{"family":"Dudai","given":"Yadin"}],"issued":{"date-parts":[["2002"]]}}},{"id":3606,"uris":["http://zotero.org/users/7052761/items/XGSREQ36"],"itemData":{"id":3606,"type":"article-journal","abstract":"Abstract\n            Autobiographical memories are never isolated episodes; they are embedded in a network that is continually updated and prediction driven. We present autobiographical memory as a meaning</w:instrText>
      </w:r>
      <w:r w:rsidR="007F237D">
        <w:rPr>
          <w:rFonts w:ascii="Cambria Math" w:hAnsi="Cambria Math" w:cs="Cambria Math"/>
        </w:rPr>
        <w:instrText>‐</w:instrText>
      </w:r>
      <w:r w:rsidR="007F237D">
        <w:instrText>driven process that includes both veridical traces and reconstructive schemas. Our developmental approach delineates how autobiographical memory develops across childhood and throughout adulthood, and our sociocultural approach examines the ways in which autobiographical memories are shaped by everyday social interactions embedded within cultural worldviews. These approaches are enhanced by a focus on autobiographical memory functions, namely self</w:instrText>
      </w:r>
      <w:r w:rsidR="007F237D">
        <w:rPr>
          <w:rFonts w:ascii="Cambria Math" w:hAnsi="Cambria Math" w:cs="Cambria Math"/>
        </w:rPr>
        <w:instrText>‐</w:instrText>
      </w:r>
      <w:r w:rsidR="007F237D">
        <w:instrText>coherence, social embeddedness, and directing future behaviors. Neuroscience models of memory outlined in multiple trace and trace transformation theories and perceptual principles of predictive processing establish mechanisms and frameworks into which autobiographical memory processes are incorporated. Rather than conceptualizing autobiographical and episodic memories as accurate versus error</w:instrText>
      </w:r>
      <w:r w:rsidR="007F237D">
        <w:rPr>
          <w:rFonts w:ascii="Cambria Math" w:hAnsi="Cambria Math" w:cs="Cambria Math"/>
        </w:rPr>
        <w:instrText>‐</w:instrText>
      </w:r>
      <w:r w:rsidR="007F237D">
        <w:instrText>prone, we frame memory as a dynamic process that is continuously updated to create coherent meaning for individuals living in complex sociocultural worlds. Autobiographical memory is a process of both accuracy and error, an intricate weaving of specific episodic details, inferences and confusions among similar experiences; it incorporates post</w:instrText>
      </w:r>
      <w:r w:rsidR="007F237D">
        <w:rPr>
          <w:rFonts w:ascii="Cambria Math" w:hAnsi="Cambria Math" w:cs="Cambria Math"/>
        </w:rPr>
        <w:instrText>‐</w:instrText>
      </w:r>
      <w:r w:rsidR="007F237D">
        <w:instrText xml:space="preserve">event information through reminiscing and conversations, in the service of creating more meaningful coherent memories that define self, others, and the world.\n            \n              This article is categorized under:\n              \n                \n                  Psychology &gt; Memory","container-title":"WIREs Cognitive Science","DOI":"10.1002/wcs.1620","ISSN":"1939-5078, 1939-5086","issue":"3","journalAbbreviation":"WIRES Cognitive Science","language":"en","page":"e1620","source":"DOI.org (Crossref)","title":"Accuracy and reconstruction in autobiographical memory: (Re)consolidating neuroscience and sociocultural developmental approaches","title-short":"Accuracy and reconstruction in autobiographical memory","volume":"14","author":[{"family":"Fivush","given":"Robyn"},{"family":"Grysman","given":"Azriel"}],"issued":{"date-parts":[["2023",5]]}}},{"id":3592,"uris":["http://zotero.org/users/7052761/items/I3I9QTFD"],"itemData":{"id":3592,"type":"book","abstract":"\"As in previous editions, the goal of this sixth edition of Principles of Neural Science is to provide readers with insight into how genes, molecules, neurons and the circuits they form give rise to mind\"-- Provided by publisher","edition":"Sixth edition","event-place":"New York","ISBN":"978-1-259-64223-4","language":"eng","note":"OCLC: 1199587061","publisher":"McGraw Hill","publisher-place":"New York","source":"Open WorldCat","title":"Principles of neural science","editor":[{"family":"Kandel","given":"Eric R."},{"family":"Koester","given":"John"},{"family":"Mack","given":"Sarah"},{"family":"Siegelbaum","given":"Steven"}],"issued":{"date-parts":[["2021"]]}}}],"schema":"https://github.com/citation-style-language/schema/raw/master/csl-citation.json"} </w:instrText>
      </w:r>
      <w:r>
        <w:fldChar w:fldCharType="separate"/>
      </w:r>
      <w:r w:rsidR="007F237D" w:rsidRPr="007F237D">
        <w:rPr>
          <w:rFonts w:cs="Arial"/>
        </w:rPr>
        <w:t>(Dudai, 2002; Fivush &amp; Grysman, 2023; Kandel et al., 2021)</w:t>
      </w:r>
      <w:r>
        <w:fldChar w:fldCharType="end"/>
      </w:r>
      <w:r>
        <w:t xml:space="preserve">. A memória, nesse sentido, é o arcabouço que sustenta a construção do tempo e do espaço subjetivos, permitindo que os indivíduos naveguem por suas experiências e compreendam sua identidade ao longo do tempo. </w:t>
      </w:r>
    </w:p>
    <w:p w14:paraId="033EBDDA" w14:textId="390A0987" w:rsidR="0096274D" w:rsidRDefault="0096274D" w:rsidP="0096274D">
      <w:pPr>
        <w:ind w:firstLine="720"/>
      </w:pPr>
      <w:r>
        <w:t xml:space="preserve">É importante notar que a taxonomia da memória vem sido atualizada e refinada ao longo de vários anos, sendo Endel Tulving um dos principais contribuintes para a compreensão das diferentes categorias de memória. Tulving propôs que a memória é dividida em memória episódica, semântica e procedural </w:t>
      </w:r>
      <w:r>
        <w:fldChar w:fldCharType="begin"/>
      </w:r>
      <w:r>
        <w:instrText xml:space="preserve"> ADDIN ZOTERO_ITEM CSL_CITATION {"citationID":"AsFk5UMY","properties":{"formattedCitation":"(Tulving, 1992)","plainCitation":"(Tulving, 1992)","noteIndex":0},"citationItems":[{"id":3639,"uris":["http://zotero.org/users/7052761/items/BGLRWWWQ"],"itemData":{"id":3639,"type":"book","collection-number":"2","collection-title":"Oxford psychology series","edition":"Reprinted","event-place":"Oxford","ISBN":"978-0-19-852102-0","language":"eng","number-of-pages":"351","publisher":"Clarendon Press","publisher-place":"Oxford","source":"K10plus ISBN","title":"Elements of episodic memory","author":[{"family":"Tulving","given":"Endel"}],"issued":{"date-parts":[["1992"]]}}}],"schema":"https://github.com/citation-style-language/schema/raw/master/csl-citation.json"} </w:instrText>
      </w:r>
      <w:r>
        <w:fldChar w:fldCharType="separate"/>
      </w:r>
      <w:r w:rsidR="007F237D" w:rsidRPr="007F237D">
        <w:rPr>
          <w:rFonts w:cs="Arial"/>
        </w:rPr>
        <w:t>(Tulving, 1992)</w:t>
      </w:r>
      <w:r>
        <w:fldChar w:fldCharType="end"/>
      </w:r>
      <w:r>
        <w:t>.</w:t>
      </w:r>
    </w:p>
    <w:p w14:paraId="1905FB89" w14:textId="7F364A35" w:rsidR="0096274D" w:rsidRDefault="0096274D" w:rsidP="0096274D">
      <w:pPr>
        <w:ind w:firstLine="720"/>
      </w:pPr>
      <w:r>
        <w:t xml:space="preserve">A memória semântica é descrita por Tulving como a memória de fatos e conhecimentos gerais sobre o mundo, que não estão ligados a experiências pessoais específicas e que está disponível para o uso consciente, sendo a forma de permitir que indivíduos acumulem e utilizem as informações adquiridas ao longo do tempo, construir uma representação mental e operar em situações, objetos e relações entre tais mesmo na ausência de estímulos externos </w:t>
      </w:r>
      <w:r>
        <w:fldChar w:fldCharType="begin"/>
      </w:r>
      <w:r>
        <w:instrText xml:space="preserve"> ADDIN ZOTERO_ITEM CSL_CITATION {"citationID":"ZO9wSU4Q","properties":{"formattedCitation":"(Tulving, 1992)","plainCitation":"(Tulving, 1992)","noteIndex":0},"citationItems":[{"id":3639,"uris":["http://zotero.org/users/7052761/items/BGLRWWWQ"],"itemData":{"id":3639,"type":"book","collection-number":"2","collection-title":"Oxford psychology series","edition":"Reprinted","event-place":"Oxford","ISBN":"978-0-19-852102-0","language":"eng","number-of-pages":"351","publisher":"Clarendon Press","publisher-place":"Oxford","source":"K10plus ISBN","title":"Elements of episodic memory","author":[{"family":"Tulving","given":"Endel"}],"issued":{"date-parts":[["1992"]]}}}],"schema":"https://github.com/citation-style-language/schema/raw/master/csl-citation.json"} </w:instrText>
      </w:r>
      <w:r>
        <w:fldChar w:fldCharType="separate"/>
      </w:r>
      <w:r w:rsidR="007F237D" w:rsidRPr="007F237D">
        <w:rPr>
          <w:rFonts w:cs="Arial"/>
        </w:rPr>
        <w:t>(Tulving, 1992)</w:t>
      </w:r>
      <w:r>
        <w:fldChar w:fldCharType="end"/>
      </w:r>
      <w:r>
        <w:t>.</w:t>
      </w:r>
    </w:p>
    <w:p w14:paraId="158F781D" w14:textId="77777777" w:rsidR="0096274D" w:rsidRDefault="0096274D" w:rsidP="0096274D">
      <w:pPr>
        <w:ind w:firstLine="720"/>
      </w:pPr>
    </w:p>
    <w:p w14:paraId="0DE74304" w14:textId="69DD0EAD" w:rsidR="002F6043" w:rsidRDefault="0096274D" w:rsidP="0096274D">
      <w:pPr>
        <w:ind w:firstLine="720"/>
      </w:pPr>
      <w:r>
        <w:lastRenderedPageBreak/>
        <w:t xml:space="preserve">Por outro lado, a memória episódica refere-se à capacidade de recordar eventos específicos e experiências individuais do passado, incluindo o contexto temporal e espacial em que ocorreram </w:t>
      </w:r>
      <w:r>
        <w:fldChar w:fldCharType="begin"/>
      </w:r>
      <w:r w:rsidR="007F237D">
        <w:instrText xml:space="preserve"> ADDIN ZOTERO_ITEM CSL_CITATION {"citationID":"wTiRYcEm","properties":{"formattedCitation":"(Sugar &amp; Moser, 2019)","plainCitation":"(Sugar &amp; Moser, 2019)","noteIndex":0},"citationItems":[{"id":3642,"uris":["http://zotero.org/users/7052761/items/7KGZBDHR"],"itemData":{"id":3642,"type":"article-journal","abstract":"Abstract\n            Episodic memory is defined as the ability to recall events in a spatiotemporal context. Formation of such memories is critically dependent on the hippocampal formation and its inputs from the entorhinal cortex. To be able to support the formation of episodic memories, entorhinal cortex and hippocampal formation should contain a neuronal code that follows several requirements. First, the code should include information about position of the agent (“where”), sequence of events (“when”), and the content of the experience itself (“what”). Second, the code should arise instantly thereby being able to support memory formation of one</w:instrText>
      </w:r>
      <w:r w:rsidR="007F237D">
        <w:rPr>
          <w:rFonts w:ascii="Cambria Math" w:hAnsi="Cambria Math" w:cs="Cambria Math"/>
        </w:rPr>
        <w:instrText>‐</w:instrText>
      </w:r>
      <w:r w:rsidR="007F237D">
        <w:instrText>shot experiences. For successful encoding and to avoid interference between memories during recall, variations in location, time, or in content of experience should result in unique ensemble activity. Finally, the code should capture several different resolutions of experience so that the necessary details relevant for future memory</w:instrText>
      </w:r>
      <w:r w:rsidR="007F237D">
        <w:rPr>
          <w:rFonts w:ascii="Cambria Math" w:hAnsi="Cambria Math" w:cs="Cambria Math"/>
        </w:rPr>
        <w:instrText>‐</w:instrText>
      </w:r>
      <w:r w:rsidR="007F237D">
        <w:instrText>based predictions will be stored. We review how neuronal codes in entorhinal cortex and hippocampus follow these requirements and argue that during formation of episodic memories entorhinal cortex provides hippocampus with instant information about ongoing experience. Such information originates from (a) spatially modulated neurons in medial entorhinal cortex, including grid cells, which provide a stable and universal positional metric of the environment; (b) a continuously varying signal in lateral entorhinal cortex providing a code for the temporal progression of events; and (c) entorhinal neurons coding the content of experiences exemplified by object</w:instrText>
      </w:r>
      <w:r w:rsidR="007F237D">
        <w:rPr>
          <w:rFonts w:ascii="Cambria Math" w:hAnsi="Cambria Math" w:cs="Cambria Math"/>
        </w:rPr>
        <w:instrText>‐</w:instrText>
      </w:r>
      <w:r w:rsidR="007F237D">
        <w:instrText>coding and odor</w:instrText>
      </w:r>
      <w:r w:rsidR="007F237D">
        <w:rPr>
          <w:rFonts w:ascii="Cambria Math" w:hAnsi="Cambria Math" w:cs="Cambria Math"/>
        </w:rPr>
        <w:instrText>‐</w:instrText>
      </w:r>
      <w:r w:rsidR="007F237D">
        <w:instrText>selective neurons. During formation of episodic memories, information from these systems are thought to be encoded as unique sequential ensemble activity in hippocampus, thereby encoding associations between the content of an event and its spatial and temporal contexts. Upon exposure to parts of the encoded stimuli, activity in these ensembles can be reinstated, leading to reactivation of the encoded activity pattern and memory recollection.","container-title":"Hippocampus","DOI":"10.1002/hipo.23132","ISSN":"1050-9631, 1098-1063","issue":"12","journalAbbreviation":"Hippocampus","language":"en","page":"1190-1205","source":"DOI.org (Crossref)","title":"Episodic memory: Neuronal codes for what, where, and when","title-short":"Episodic memory","volume":"29","author":[{"family":"Sugar","given":"Jørgen"},{"family":"Moser","given":"May</w:instrText>
      </w:r>
      <w:r w:rsidR="007F237D">
        <w:rPr>
          <w:rFonts w:ascii="Cambria Math" w:hAnsi="Cambria Math" w:cs="Cambria Math"/>
        </w:rPr>
        <w:instrText>‐</w:instrText>
      </w:r>
      <w:r w:rsidR="007F237D">
        <w:instrText xml:space="preserve">Britt"}],"issued":{"date-parts":[["2019",12]]}}}],"schema":"https://github.com/citation-style-language/schema/raw/master/csl-citation.json"} </w:instrText>
      </w:r>
      <w:r>
        <w:fldChar w:fldCharType="separate"/>
      </w:r>
      <w:r w:rsidR="007F237D" w:rsidRPr="007F237D">
        <w:rPr>
          <w:rFonts w:cs="Arial"/>
        </w:rPr>
        <w:t>(Sugar &amp; Moser, 2019)</w:t>
      </w:r>
      <w:r>
        <w:fldChar w:fldCharType="end"/>
      </w:r>
      <w:r>
        <w:t xml:space="preserve">. Em contraste ao que é estabelecido na memória semântica, além de armazenar informações conceituais e suas relações entre si, a memória episódica envolve a recordação de detalhes contextuais e a capacidade de "viajar no tempo mentalmente" para reviver experiências passadas </w:t>
      </w:r>
      <w:r>
        <w:fldChar w:fldCharType="begin"/>
      </w:r>
      <w:r w:rsidR="007F237D">
        <w:instrText xml:space="preserve"> ADDIN ZOTERO_ITEM CSL_CITATION {"citationID":"P5424oyT","properties":{"formattedCitation":"(Eichenbaum, 2017; Sugar &amp; Moser, 2019; Tulving, 1992)","plainCitation":"(Eichenbaum, 2017; Sugar &amp; Moser, 2019; Tulving, 1992)","noteIndex":0},"citationItems":[{"id":3617,"uris":["http://zotero.org/users/7052761/items/BR3ZGM62"],"itemData":{"id":3617,"type":"article-journal","abstract":"There is considerable recent evidence that, in addition to its representation of space, the hippocampus also represents the temporal organization of memories. Time plays a central role in episodic memory, and studies have identified the hippocampus as playing an essential role in the temporal organization of memories in humans and animals. Temporal organization is supported by a gradually changing temporal context signal in the hippocampus, and this changing context signal involves ‘time cells’ in the hippocampus that code sequential moments in temporally organized experiences. Finally, hippocampal temporal context representations involve mechanisms in intrinsic circuitry and oscillatory patterns throughout hippocampal subfields and depend on inputs from parahippocampal cortical areas as well as a widespread temporal processing system in the neocortex.","collection-title":"Memory in time and space","container-title":"Current Opinion in Behavioral Sciences","DOI":"10.1016/j.cobeha.2017.06.010","ISSN":"23521546","journalAbbreviation":"Current Opinion in Behavioral Sciences","language":"en","page":"65-70","source":"DOI.org (Crossref)","title":"Time (and space) in the hippocampus","volume":"17","author":[{"family":"Eichenbaum","given":"Howard"}],"issued":{"date-parts":[["2017",10]]}}},{"id":3642,"uris":["http://zotero.org/users/7052761/items/7KGZBDHR"],"itemData":{"id":3642,"type":"article-journal","abstract":"Abstract\n            Episodic memory is defined as the ability to recall events in a spatiotemporal context. Formation of such memories is critically dependent on the hippocampal formation and its inputs from the entorhinal cortex. To be able to support the formation of episodic memories, entorhinal cortex and hippocampal formation should contain a neuronal code that follows several requirements. First, the code should include information about position of the agent (“where”), sequence of events (“when”), and the content of the experience itself (“what”). Second, the code should arise instantly thereby being able to support memory formation of one</w:instrText>
      </w:r>
      <w:r w:rsidR="007F237D">
        <w:rPr>
          <w:rFonts w:ascii="Cambria Math" w:hAnsi="Cambria Math" w:cs="Cambria Math"/>
        </w:rPr>
        <w:instrText>‐</w:instrText>
      </w:r>
      <w:r w:rsidR="007F237D">
        <w:instrText>shot experiences. For successful encoding and to avoid interference between memories during recall, variations in location, time, or in content of experience should result in unique ensemble activity. Finally, the code should capture several different resolutions of experience so that the necessary details relevant for future memory</w:instrText>
      </w:r>
      <w:r w:rsidR="007F237D">
        <w:rPr>
          <w:rFonts w:ascii="Cambria Math" w:hAnsi="Cambria Math" w:cs="Cambria Math"/>
        </w:rPr>
        <w:instrText>‐</w:instrText>
      </w:r>
      <w:r w:rsidR="007F237D">
        <w:instrText>based predictions will be stored. We review how neuronal codes in entorhinal cortex and hippocampus follow these requirements and argue that during formation of episodic memories entorhinal cortex provides hippocampus with instant information about ongoing experience. Such information originates from (a) spatially modulated neurons in medial entorhinal cortex, including grid cells, which provide a stable and universal positional metric of the environment; (b) a continuously varying signal in lateral entorhinal cortex providing a code for the temporal progression of events; and (c) entorhinal neurons coding the content of experiences exemplified by object</w:instrText>
      </w:r>
      <w:r w:rsidR="007F237D">
        <w:rPr>
          <w:rFonts w:ascii="Cambria Math" w:hAnsi="Cambria Math" w:cs="Cambria Math"/>
        </w:rPr>
        <w:instrText>‐</w:instrText>
      </w:r>
      <w:r w:rsidR="007F237D">
        <w:instrText>coding and odor</w:instrText>
      </w:r>
      <w:r w:rsidR="007F237D">
        <w:rPr>
          <w:rFonts w:ascii="Cambria Math" w:hAnsi="Cambria Math" w:cs="Cambria Math"/>
        </w:rPr>
        <w:instrText>‐</w:instrText>
      </w:r>
      <w:r w:rsidR="007F237D">
        <w:instrText>selective neurons. During formation of episodic memories, information from these systems are thought to be encoded as unique sequential ensemble activity in hippocampus, thereby encoding associations between the content of an event and its spatial and temporal contexts. Upon exposure to parts of the encoded stimuli, activity in these ensembles can be reinstated, leading to reactivation of the encoded activity pattern and memory recollection.","container-title":"Hippocampus","DOI":"10.1002/hipo.23132","ISSN":"1050-9631, 1098-1063","issue":"12","journalAbbreviation":"Hippocampus","language":"en","page":"1190-1205","source":"DOI.org (Crossref)","title":"Episodic memory: Neuronal codes for what, where, and when","title-short":"Episodic memory","volume":"29","author":[{"family":"Sugar","given":"Jørgen"},{"family":"Moser","given":"May</w:instrText>
      </w:r>
      <w:r w:rsidR="007F237D">
        <w:rPr>
          <w:rFonts w:ascii="Cambria Math" w:hAnsi="Cambria Math" w:cs="Cambria Math"/>
        </w:rPr>
        <w:instrText>‐</w:instrText>
      </w:r>
      <w:r w:rsidR="007F237D">
        <w:instrText xml:space="preserve">Britt"}],"issued":{"date-parts":[["2019",12]]}}},{"id":3639,"uris":["http://zotero.org/users/7052761/items/BGLRWWWQ"],"itemData":{"id":3639,"type":"book","collection-number":"2","collection-title":"Oxford psychology series","edition":"Reprinted","event-place":"Oxford","ISBN":"978-0-19-852102-0","language":"eng","number-of-pages":"351","publisher":"Clarendon Press","publisher-place":"Oxford","source":"K10plus ISBN","title":"Elements of episodic memory","author":[{"family":"Tulving","given":"Endel"}],"issued":{"date-parts":[["1992"]]}}}],"schema":"https://github.com/citation-style-language/schema/raw/master/csl-citation.json"} </w:instrText>
      </w:r>
      <w:r>
        <w:fldChar w:fldCharType="separate"/>
      </w:r>
      <w:r w:rsidR="007F237D" w:rsidRPr="007F237D">
        <w:rPr>
          <w:rFonts w:cs="Arial"/>
        </w:rPr>
        <w:t>(Eichenbaum, 2017; Sugar &amp; Moser, 2019; Tulving, 1992)</w:t>
      </w:r>
      <w:r>
        <w:fldChar w:fldCharType="end"/>
      </w:r>
      <w:r>
        <w:t xml:space="preserve">. Em </w:t>
      </w:r>
      <w:r w:rsidR="00310B66" w:rsidRPr="00310B66">
        <w:t xml:space="preserve">particular, permite ao indivíduo reviver mentalmente eventos específicos no tempo e no espaço, contribuindo para a sensação de continuidade do self e para a organização narrativa da identidade </w:t>
      </w:r>
      <w:r w:rsidR="00CA6B30">
        <w:t>individual</w:t>
      </w:r>
      <w:r w:rsidR="00310B66">
        <w:t xml:space="preserve"> </w:t>
      </w:r>
      <w:r w:rsidR="00310B66">
        <w:fldChar w:fldCharType="begin"/>
      </w:r>
      <w:r w:rsidR="00310B66">
        <w:instrText xml:space="preserve"> ADDIN ZOTERO_ITEM CSL_CITATION {"citationID":"M6IRPX89","properties":{"formattedCitation":"(Addis, 2020; Tulving, 2002)","plainCitation":"(Addis, 2020; Tulving, 2002)","noteIndex":0},"citationItems":[{"id":3618,"uris":["http://zotero.org/users/7052761/items/XIQHZK7D"],"itemData":{"id":3618,"type":"article-journal","abstract":"Mental time travel (MTT) is defined as projecting the self into the past and the future. Despite growing evidence of the similarities of remembering past and imagining future events, dominant theories conceive of these as distinct capacities. I propose that memory and imagination are fundamentally the same process—constructive episodic simulation—and demonstrate that the ‘simulation system’ meets the three criteria of a neurocognitive system. Irrespective of whether one is remembering or imagining, the simulation system: (1) acts on the same information, drawing on elements of experience ranging from fine-grained perceptual details to coarser-grained conceptual information and schemas about the world; (2) is governed by the same rules of operation, including associative processes that facilitate construction of a schematic scaffold, the event representation itself, and the dynamic interplay between the two (cf. predictive coding); and (3) is subserved by the same brain system. I also propose that by forming associations between schemas, the simulation system constructs multi-dimensional cognitive spaces, within which any given simulation is mapped by the hippocampus. Finally, I suggest that simulation is a general capacity that underpins other domains of cognition, such as the perception of ongoing experience. This proposal has some important implications for the construct of ‘MTT’, suggesting that ‘time’ and ‘travel’ may not be defining, or even essential, features. Rather, it is the ‘mental’ rendering of experience that is the most fundamental function of this domain-general simulation system enabling humans to re-experience the past, pre-experience the future, and also comprehend the complexities of the present. (PsycInfo Database Record (c) 2025 APA, all rights reserved)","container-title":"Review of Philosophy and Psychology","DOI":"10.1007/s13164-020-00470-0","ISSN":"1878-5166","issue":"2","note":"publisher-place: Germany\npublisher: Springer","page":"233-259","source":"APA PsycNet","title":"Mental time travel? A neurocognitive model of event simulation","title-short":"Mental time travel?","volume":"11","author":[{"family":"Addis","given":"Donna Rose"}],"issued":{"date-parts":[["2020"]]}}},{"id":3609,"uris":["http://zotero.org/users/7052761/items/W8DZMFN2"],"itemData":{"id":3609,"type":"article-journal","abstract":"[Figure: see text]\n            ▪ Abstract  Episodic memory is a neurocognitive (brain/mind) system, uniquely different from other memory systems, that enables human beings to remember past experiences. The notion of episodic memory was first proposed some 30 years ago. At that time it was defined in terms of materials and tasks. It was subsequently refined and elaborated in terms of ideas such as self, subjective time, and autonoetic consciousness. This chapter provides a brief history of the concept of episodic memory, describes how it has changed (indeed greatly changed) since its inception, considers criticisms of it, and then discusses supporting evidence provided by (a) neuropsychological studies of patterns of memory impairment caused by brain damage, and (b) functional neuroimaging studies of patterns of brain activity of normal subjects engaged in various memory tasks. I also suggest that episodic memory is a true, even if as yet generally unappreciated, marvel of nature.","container-title":"Annual Review of Psychology","DOI":"10.1146/annurev.psych.53.100901.135114","ISSN":"0066-4308, 1545-2085","issue":"1","journalAbbreviation":"Annu. Rev. Psychol.","language":"en","page":"1-25","source":"DOI.org (Crossref)","title":"Episodic Memory: From Mind to Brain","title-short":"Episodic Memory","volume":"53","author":[{"family":"Tulving","given":"Endel"}],"issued":{"date-parts":[["2002",2]]}}}],"schema":"https://github.com/citation-style-language/schema/raw/master/csl-citation.json"} </w:instrText>
      </w:r>
      <w:r w:rsidR="00310B66">
        <w:fldChar w:fldCharType="separate"/>
      </w:r>
      <w:r w:rsidR="007F237D" w:rsidRPr="007F237D">
        <w:rPr>
          <w:rFonts w:cs="Arial"/>
        </w:rPr>
        <w:t>(Addis, 2020; Tulving, 2002)</w:t>
      </w:r>
      <w:r w:rsidR="00310B66">
        <w:fldChar w:fldCharType="end"/>
      </w:r>
      <w:r w:rsidR="00310B66">
        <w:t>.</w:t>
      </w:r>
    </w:p>
    <w:p w14:paraId="41E19AA5" w14:textId="5E73334A" w:rsidR="00505D34" w:rsidRDefault="002F6043" w:rsidP="00505D34">
      <w:pPr>
        <w:ind w:firstLine="720"/>
      </w:pPr>
      <w:r>
        <w:t xml:space="preserve">Esse aspecto da memória é fundamental para comportamentos que, em última instância, se tornam a base para indivíduos que constroem narrativas que incluem a participação de indivíduos da mesma espécie em interações intraespecíficas, como por exemplo relações de hierarquia social vista em diversos animais sociais como peixes, aves e mamíferos </w:t>
      </w:r>
      <w:r>
        <w:fldChar w:fldCharType="begin"/>
      </w:r>
      <w:r w:rsidR="002A5923">
        <w:instrText xml:space="preserve"> ADDIN ZOTERO_ITEM CSL_CITATION {"citationID":"lpATSvKl","properties":{"formattedCitation":"(Chase et al., 2002)","plainCitation":"(Chase et al., 2002)","noteIndex":0},"citationItems":[{"id":3610,"uris":["http://zotero.org/users/7052761/items/JHA9KKWP"],"itemData":{"id":3610,"type":"article-journal","container-title":"Proceedings of the National Academy of Sciences of the United States of America","DOI":"10.1073/pnas.082104199","journalAbbreviation":"Proceedings of the National Academy of Sciences of the United States of America","language":"en","note":"DOI: 10.1073/pnas.082104199","page":"5744 - 5749","title":"Individual differences versus social dynamics in the formation of animal dominance hierarchies","volume":"99","author":[{"family":"Chase","given":"Ivan D"},{"family":"Tovey","given":"C."},{"family":"Spangler-Martin","given":"Debra"},{"family":"Manfredonia","given":"M."}],"issued":{"date-parts":[["2002"]]}}}],"schema":"https://github.com/citation-style-language/schema/raw/master/csl-citation.json"} </w:instrText>
      </w:r>
      <w:r>
        <w:fldChar w:fldCharType="separate"/>
      </w:r>
      <w:r w:rsidR="007F237D" w:rsidRPr="007F237D">
        <w:rPr>
          <w:rFonts w:cs="Arial"/>
        </w:rPr>
        <w:t>(Chase et al., 2002)</w:t>
      </w:r>
      <w:r>
        <w:fldChar w:fldCharType="end"/>
      </w:r>
      <w:r>
        <w:t xml:space="preserve">. </w:t>
      </w:r>
      <w:r w:rsidR="00505D34" w:rsidRPr="00505D34">
        <w:t>A</w:t>
      </w:r>
      <w:r w:rsidR="00505D34">
        <w:t>ssim,</w:t>
      </w:r>
      <w:r w:rsidR="00505D34" w:rsidRPr="00505D34">
        <w:t xml:space="preserve"> dimensão autobiográfica da memória não se restringe ao domínio individual: ela também fornece a base cognitiva para o comportamento social.</w:t>
      </w:r>
    </w:p>
    <w:p w14:paraId="77B2F004" w14:textId="020E2B28" w:rsidR="003A4D7D" w:rsidRDefault="002F6043" w:rsidP="00505D34">
      <w:pPr>
        <w:ind w:firstLine="720"/>
      </w:pPr>
      <w:r w:rsidRPr="00505D34">
        <w:t>A capacidade de lembrar eventos passados e suas consequências permite que os indivíduos aprendam com suas experiências, ajustem seus comportamentos e tomem decisões informadas no presente e no futuro</w:t>
      </w:r>
      <w:r w:rsidR="00505D34">
        <w:t xml:space="preserve"> </w:t>
      </w:r>
      <w:r w:rsidR="00505D34">
        <w:fldChar w:fldCharType="begin"/>
      </w:r>
      <w:r w:rsidR="00505D34">
        <w:instrText xml:space="preserve"> ADDIN ZOTERO_ITEM CSL_CITATION {"citationID":"8j0mssfa","properties":{"formattedCitation":"(Dudai, 2002)","plainCitation":"(Dudai, 2002)","noteIndex":0},"citationItems":[{"id":3594,"uris":["http://zotero.org/users/7052761/items/GBX3B3DA"],"itemData":{"id":3594,"type":"book","abstract":"\"This is a companion to the language of memory research. It consists of over 130 entries, bound within a coherent conceptual framework. Each entry starts with a definition, or a set of definitions, followed by in-depth and provocative discussion of the origin, meaning, usage and applicability of ideas and problems central to the neuroscience of memory and scientific culture at large. The entries, linked by webs of associations, can be read and enjoyed, and provide a versatile tool kit: a source for definitions, information and further reading; a trigger for contemplation, discussion and experimentation; and an aid to study, teaching and debate in classes and seminars. The text is supported by an extensive reference listing, and there is a comprehensive subject index, incorporating a much wider range of terms relevant to the field.\" \"Memory from A to Z provides a unique, highly valuable introduction to the field of memory for students and researchers approaching the subject for the first time, while at the same time serving and stimulating the more experienced.\"--Jacket","event-place":"Oxford","ISBN":"978-1-4175-9948-6","language":"eng","number-of-pages":"1","publisher":"Oxford University Press","publisher-place":"Oxford","source":"K10plus ISBN","title":"Memory from A to Z: keywords, concepts, and beyond","title-short":"Memory from A to Z","editor":[{"family":"Dudai","given":"Yadin"}],"issued":{"date-parts":[["2002"]]}}}],"schema":"https://github.com/citation-style-language/schema/raw/master/csl-citation.json"} </w:instrText>
      </w:r>
      <w:r w:rsidR="00505D34">
        <w:fldChar w:fldCharType="separate"/>
      </w:r>
      <w:r w:rsidR="007F237D" w:rsidRPr="007F237D">
        <w:rPr>
          <w:rFonts w:cs="Arial"/>
        </w:rPr>
        <w:t>(Dudai, 2002)</w:t>
      </w:r>
      <w:r w:rsidR="00505D34">
        <w:fldChar w:fldCharType="end"/>
      </w:r>
      <w:r w:rsidR="00505D34">
        <w:t xml:space="preserve">. Isso </w:t>
      </w:r>
      <w:r w:rsidR="00505D34" w:rsidRPr="00505D34">
        <w:t>constitui um papel importante</w:t>
      </w:r>
      <w:r w:rsidRPr="00505D34">
        <w:t xml:space="preserve"> não apenas </w:t>
      </w:r>
      <w:r w:rsidR="00505D34" w:rsidRPr="00505D34">
        <w:t>para</w:t>
      </w:r>
      <w:r w:rsidRPr="00505D34">
        <w:t xml:space="preserve"> a construção do tempo e do espaço subjetivos, mas também para a adaptação e sobrevivência dos indivíduos em seus ambientes sociais e físicos já que, para animais que vivem em sociedades ou grupos, a capacidade de lembrar e reconhecer diferentes indivíduos conspecíficos é crucial para exibir o comportamento social apropriado, como agressão, evitação, comportamento cooperativo e até mesmo comportamento de acasalamento </w:t>
      </w:r>
      <w:r w:rsidRPr="00505D34">
        <w:fldChar w:fldCharType="begin"/>
      </w:r>
      <w:r w:rsidRPr="00505D34">
        <w:instrText xml:space="preserve"> ADDIN ZOTERO_ITEM CSL_CITATION {"citationID":"oG8H3vTR","properties":{"formattedCitation":"(Okuyama, 2018)","plainCitation":"(Okuyama, 2018)","noteIndex":0},"citationItems":[{"id":3613,"uris":["http://zotero.org/users/7052761/items/WETQTZYM"],"itemData":{"id":3613,"type":"article-journal","abstract":"Social memory is one of the crucial components of episodic memories. Gregarious animals living in societies utilize social memory to exhibit the appropriate social behaviors such as aggression, avoidance, cooperative behavior, and even mating behavior. However, the neural mechanisms underlying social memory in the hippocampus remains mysterious. Here, I review some evidence from work done in rodents and primates on the brain region(s) and circuits encoding and/or retrieving social memory, as well as a storage for social memory (i.e. social memory engram neurons). Based on our recent findings that neural ensemble in ventral CA1 sub-region of the hippocampus possesses social memory engram, I would discuss the neural network for social information processing in order to encode social memory; and its evolutionary conservation between rodents and human.","collection-title":"Achievements of Japan neuroscience award winners","container-title":"Neuroscience Research","DOI":"10.1016/j.neures.2017.05.007","ISSN":"01680102","journalAbbreviation":"Neuroscience Research","language":"en","page":"17-23","source":"DOI.org (Crossref)","title":"Social memory engram in the hippocampus","volume":"129","author":[{"family":"Okuyama","given":"Teruhiro"}],"issued":{"date-parts":[["2018",4]]}}}],"schema":"https://github.com/citation-style-language/schema/raw/master/csl-citation.json"} </w:instrText>
      </w:r>
      <w:r w:rsidRPr="00505D34">
        <w:fldChar w:fldCharType="separate"/>
      </w:r>
      <w:r w:rsidR="007F237D" w:rsidRPr="007F237D">
        <w:rPr>
          <w:rFonts w:cs="Arial"/>
        </w:rPr>
        <w:t>(Okuyama, 2018)</w:t>
      </w:r>
      <w:r w:rsidRPr="00505D34">
        <w:fldChar w:fldCharType="end"/>
      </w:r>
      <w:r w:rsidRPr="00505D34">
        <w:t>.</w:t>
      </w:r>
    </w:p>
    <w:p w14:paraId="79CC5560" w14:textId="1AEEB3DE" w:rsidR="0096274D" w:rsidRDefault="0096274D" w:rsidP="00955D8F">
      <w:pPr>
        <w:ind w:firstLine="720"/>
      </w:pPr>
      <w:r>
        <w:t xml:space="preserve">A memória episódica, ao permitir que o indivíduo reviva mentalmente experiências passadas, fornece os alicerces para a construção do conjunto de lembranças que formam a narrativa </w:t>
      </w:r>
      <w:r w:rsidR="00CA6B30">
        <w:t>individual</w:t>
      </w:r>
      <w:r>
        <w:t xml:space="preserve"> e sustentam a continuidade do </w:t>
      </w:r>
      <w:r w:rsidRPr="0096274D">
        <w:rPr>
          <w:i/>
          <w:iCs/>
        </w:rPr>
        <w:t>self</w:t>
      </w:r>
      <w:r w:rsidR="00955D8F">
        <w:rPr>
          <w:i/>
          <w:iCs/>
        </w:rPr>
        <w:t xml:space="preserve"> </w:t>
      </w:r>
      <w:r w:rsidR="00955D8F">
        <w:rPr>
          <w:i/>
          <w:iCs/>
        </w:rPr>
        <w:fldChar w:fldCharType="begin"/>
      </w:r>
      <w:r w:rsidR="007F237D">
        <w:rPr>
          <w:i/>
          <w:iCs/>
        </w:rPr>
        <w:instrText xml:space="preserve"> ADDIN ZOTERO_ITEM CSL_CITATION {"citationID":"zzApfkRr","properties":{"formattedCitation":"(Conway &amp; Pleydell-Pearce, 2000; Tulving, 2002; Wu et al., 2023)","plainCitation":"(Conway &amp; Pleydell-Pearce, 2000; Tulving, 2002; Wu et al., 2023)","noteIndex":0},"citationItems":[{"id":3652,"uris":["http://zotero.org/users/7052761/items/A2LC3QVV"],"itemData":{"id":3652,"type":"article-journal","abstract":"The authors describe a model of autobiographical memory in which memories are transitory mental constructions within a self-memory system (SMS). The SMS contains an autobiographical knowledge base and current goals of the working self. Within the SMS, control processes modulate access to the knowledge base by successively shaping cues used to activate autobiographical memory knowledge structures and, in this way, form specific memories. The relation of the knowledge base to active goals is reciprocal, and the knowledge base \"grounds\" the goals of the working self. It is shown how this model can be used to draw together a wide range of diverse data from cognitive, social, developmental, personality, clinical, and neuropsychological autobiographical memory research. (PsycInfo Database Record (c) 2025 APA, all rights reserved)","container-title":"Psychological Review","DOI":"10.1037/0033-295X.107.2.261","ISSN":"1939-1471","issue":"2","note":"publisher-place: US\npublisher: American Psychological Association","page":"261-288","source":"APA PsycNet","title":"The construction of autobiographical memories in the self-memory system","volume":"107","author":[{"family":"Conway","given":"Martin A."},{"family":"Pleydell-Pearce","given":"Christopher W."}],"issued":{"date-parts":[["2000"]]}}},{"id":3609,"uris":["http://zotero.org/users/7052761/items/W8DZMFN2"],"itemData":{"id":3609,"type":"article-journal","abstract":"[Figure: see text]\n            ▪ Abstract  Episodic memory is a neurocognitive (brain/mind) system, uniquely different from other memory systems, that enables human beings to remember past experiences. The notion of episodic memory was first proposed some 30 years ago. At that time it was defined in terms of materials and tasks. It was subsequently refined and elaborated in terms of ideas such as self, subjective time, and autonoetic consciousness. This chapter provides a brief history of the concept of episodic memory, describes how it has changed (indeed greatly changed) since its inception, considers criticisms of it, and then discusses supporting evidence provided by (a) neuropsychological studies of patterns of memory impairment caused by brain damage, and (b) functional neuroimaging studies of patterns of brain activity of normal subjects engaged in various memory tasks. I also suggest that episodic memory is a true, even if as yet generally unappreciated, marvel of nature.","container-title":"Annual Review of Psychology","DOI":"10.1146/annurev.psych.53.100901.135114","ISSN":"0066-4308, 1545-2085","issue":"1","journalAbbreviation":"Annu. Rev. Psychol.","language":"en","page":"1-25","source":"DOI.org (Crossref)","title":"Episodic Memory: From Mind to Brain","title-short":"Episodic Memory","volume":"53","author":[{"family":"Tulving","given":"Endel"}],"issued":{"date-parts":[["2002",2]]}}},{"id":3627,"uris":["http://zotero.org/users/7052761/items/9ZAD5SXI"],"itemData":{"id":3627,"type":"article-journal","abstract":"The hippocampus is critical for contextual memory and has recently been implicated in various kinds of social memory. Traditionally, studies of hippocampal context coding have manipulated elements of the background environment, such as the shape and color of the apparatus. These manipulations produce large shifts in the spatial firing patterns, a phenomenon known as remapping. These findings suggest that the hippocampus encodes and differentiates contexts by generating unique spatial firing patterns for each environment a subject encounters. However, we do not know whether the hippocampus encodes social contexts defined by the presence of particular conspecifics. We examined this by exposing rats to a series of manipulations of the social context, including the presence of familiar male, unfamiliar male and female conspecifics, in order to determine whether remapping is a plausible mechanism for encoding socially-defined contexts. Because the dorsal and ventral regions of the hippocampus are thought to play different roles in spatial and social cognition, we recorded neurons in both regions. Surprisingly, we found little evidence of remapping in response to manipulation of the social context in either the dorsal or ventral hippocampus, although we saw typical remapping in response to changing the background color. This result suggests that remapping is not the primary mechanism for encoding different social contexts. However, we found that a subset of hippocampal neurons fired selectively near the cages that contained the conspecifics, and these responses were most prevalent in the ventral hippocampus. We also found a striking increase in the spatial information content of ventral hippocampal firing patterns. These results indicate that the ventral hippocampus is sensitive to changes in the social context and neurons that respond selectively near the conspecific cages could play an important, if not fully understood role in encoding the conjunction of conspecifics, their location and the environment.","container-title":"Hippocampus","DOI":"10.1002/hipo.23507","ISSN":"1098-1063","issue":"7","journalAbbreviation":"Hippocampus","language":"en","license":"© 2023 Wiley Periodicals LLC.","note":"_eprint: https://onlinelibrary.wiley.com/doi/pdf/10.1002/hipo.23507","page":"830-843","source":"Wiley Online Library","title":"Effects of social context manipulation on dorsal and ventral hippocampal neuronal responses","volume":"33","author":[{"family":"Wu","given":"Wen-Yi"},{"family":"Yiu","given":"Eunice"},{"family":"Ophir","given":"Alexander G."},{"family":"Smith","given":"David M."}],"issued":{"date-parts":[["2023"]]}}}],"schema":"https://github.com/citation-style-language/schema/raw/master/csl-citation.json"} </w:instrText>
      </w:r>
      <w:r w:rsidR="00955D8F">
        <w:rPr>
          <w:i/>
          <w:iCs/>
        </w:rPr>
        <w:fldChar w:fldCharType="separate"/>
      </w:r>
      <w:r w:rsidR="007F237D" w:rsidRPr="007F237D">
        <w:rPr>
          <w:rFonts w:cs="Arial"/>
        </w:rPr>
        <w:t>(Conway &amp; Pleydell-Pearce, 2000; Tulving, 2002; Wu et al., 2023)</w:t>
      </w:r>
      <w:r w:rsidR="00955D8F">
        <w:rPr>
          <w:i/>
          <w:iCs/>
        </w:rPr>
        <w:fldChar w:fldCharType="end"/>
      </w:r>
      <w:r>
        <w:t xml:space="preserve">. Essa capacidade de situar-se no tempo e no espaço subjetivos não apenas organiza a identidade individual, mas também serve </w:t>
      </w:r>
      <w:r>
        <w:lastRenderedPageBreak/>
        <w:t>de base para compreender e antecipar o comportamento de outros. Em outras palavras, recordar-se de experiências pessoais fornece o material cognitivo a partir do qual os indivíduos inferem intenções, emoções e padrões de ação em contextos sociais.</w:t>
      </w:r>
    </w:p>
    <w:p w14:paraId="6BC20690" w14:textId="2CEBB807" w:rsidR="0096274D" w:rsidRDefault="0096274D" w:rsidP="00955D8F">
      <w:pPr>
        <w:ind w:firstLine="720"/>
      </w:pPr>
      <w:r>
        <w:t xml:space="preserve">Nesse sentido, a memória autobiográfica funciona como um elo entre o domínio individual e o social. A evocação de eventos passados que envolvem </w:t>
      </w:r>
      <w:r w:rsidR="00955D8F">
        <w:t xml:space="preserve">as interações sociais </w:t>
      </w:r>
      <w:r>
        <w:t xml:space="preserve">permite reconhecer regularidades e ajustar respostas comportamentais a diferentes </w:t>
      </w:r>
      <w:r w:rsidR="00955D8F">
        <w:t>contextos</w:t>
      </w:r>
      <w:r>
        <w:t xml:space="preserve">. Essa integração entre memória </w:t>
      </w:r>
      <w:r w:rsidR="00955D8F">
        <w:t>individual</w:t>
      </w:r>
      <w:r>
        <w:t xml:space="preserve"> e representação social é observada em múltiplas espécies sociais, sugerindo que a recordação de experiências relacionais é uma ferramenta adaptativa para a navegação em ambientes interativos e hierarquicamente estruturados (Chase et al., 2002; </w:t>
      </w:r>
      <w:proofErr w:type="spellStart"/>
      <w:r>
        <w:t>Okuyama</w:t>
      </w:r>
      <w:proofErr w:type="spellEnd"/>
      <w:r>
        <w:t>, 2018).</w:t>
      </w:r>
    </w:p>
    <w:p w14:paraId="44739097" w14:textId="2C1E1D9D" w:rsidR="0096274D" w:rsidRPr="00E83B86" w:rsidRDefault="0096274D" w:rsidP="00955D8F">
      <w:pPr>
        <w:ind w:firstLine="720"/>
      </w:pPr>
      <w:r>
        <w:t>Assim, a memória social emerge como uma extensão e especialização da memória autobiográfica, integrando lembranças individuais a contextos coletivos e possibilitando comportamentos socialmente adequados. Essa interdependência entre memória, identidade e interação social revela que a construção do self é, simultaneamente, um processo individual e intersubjetivo. A capacidade de recordar, interpretar e projetar experiências compartilhadas sustenta não apenas a coesão interna do sujeito, mas também sua inserção dinâmica em redes sociais complexas</w:t>
      </w:r>
      <w:r w:rsidR="00955D8F">
        <w:t xml:space="preserve"> </w:t>
      </w:r>
      <w:r w:rsidR="00955D8F">
        <w:fldChar w:fldCharType="begin"/>
      </w:r>
      <w:r w:rsidR="007F237D">
        <w:instrText xml:space="preserve"> ADDIN ZOTERO_ITEM CSL_CITATION {"citationID":"tH4yy2HX","properties":{"formattedCitation":"(Dunbar, 2009; Lunardi et al., 2021; Rubin, 2005; Tost et al., 2015; Tulving, 1992)","plainCitation":"(Dunbar, 2009; Lunardi et al., 2021; Rubin, 2005; Tost et al., 2015; Tulving, 1992)","noteIndex":0},"citationItems":[{"id":3657,"uris":["http://zotero.org/users/7052761/items/8R92BA6D"],"itemData":{"id":3657,"type":"article-journal","abstract":"The social brain hypothesis was proposed as an explanation for the fact that primates have unusually large brains for body size compared to all other vertebrates: Primates evolved large brains to manage their unusually complex social systems. Although this proposal has been generalized to all vertebrate taxa as an explanation for brain evolution, recent analyses suggest that the social brain hypothesis takes a very different form in other mammals and birds than it does in anthropoid primates. In primates, there is a quantitative relationship between brain size and social group size (group size is a monotonic function of brain size), presumably because the cognitive demands of sociality place a constraint on the number of individuals that can be maintained in a coherent group. In other mammals and birds, the relationship is a qualitative one: Large brains are associated with categorical differences in mating system, with species that have pairbonded mating systems having the largest brains. It seems that anthropoid primates may have generalized the bonding processes that characterize monogamous pairbonds to other non-reproductive relationships (‘friendships’), thereby giving rise to the quantitative relationship between group size and brain size that we find in this taxon. This raises issues about why bonded relationships are cognitively so demanding (and, indeed, raises questions about what a bonded relationship actually is), and when and why primates undertook this change in social style.","container-title":"Annals of Human Biology","DOI":"10.1080/03014460902960289","ISSN":"0301-4460","issue":"5","note":"publisher: Taylor &amp; Francis\n_eprint: https://doi.org/10.1080/03014460902960289\nPMID: 19575315","page":"562-572","source":"Taylor and Francis+NEJM","title":"The social brain hypothesis and its implications for social evolution","volume":"36","author":[{"family":"Dunbar","given":"R.I.M."}],"issued":{"date-parts":[["2009",1,1]]}}},{"id":102,"uris":["http://zotero.org/users/7052761/items/DGJIS9JP"],"itemData":{"id":102,"type":"article-journal","abstract":"Social memory (SM) is a key element in social cognition and it encompasses the neural representation of conspecifics, an essential information to guide behavior in a social context. Here we evaluate classical and cutting-edge studies on neurobiology of SM, using as a guiding principle behavioral tasks performed in adult rodents. Our review highlights the relevance of the hippocampus, especially the CA2 region, as a neural substrate for SM and suggest that neural ensembles in the olfactory bulb may also encode SM traces. Compared to other hippocampus-dependent memories, much remains to be done to describe the neurobiological foundations of SM. Nonetheless, we argue that special attention should be paid to neurogenesis. Finally, we pinpoint the remaining open question on whether the hippocampal adult neurogenesis acts through pattern separation to permit the discrimination of highly similar stimuli during behavior.","container-title":"Brain Research Bulletin","DOI":"10.1016/j.brainresbull.2021.03.006","ISSN":"0361-9230","journalAbbreviation":"Brain Research Bulletin","page":"56-66","source":"ScienceDirect","title":"On the novel mechanisms for social memory and the emerging role of neurogenesis","volume":"171","author":[{"family":"Lunardi","given":"Paula"},{"family":"Mansk","given":"Lara M. Z."},{"family":"Jaimes","given":"Laura F."},{"family":"Pereira","given":"Grace S."}],"issued":{"date-parts":[["2021",6,1]]}}},{"id":3654,"uris":["http://zotero.org/users/7052761/items/KVV4TWCG"],"itemData":{"id":3654,"type":"article-journal","abstract":"Memory for complex everyday events involving vision, hearing, smell, emotion, narrative, and language cannot be understood without considering the properties of the separate systems that process and store each of these forms of information. Using this premise as a starting point, my colleagues and I found that visual memory plays a central role in autobiographical memory: The strength of recollection of an event is predicted best by the vividness of its visual imagery, and a loss of visual memory causes a general amnesia. Examination of autobiographical memories in individuals with posttraumatic stress disorder (PTSD) suggests that the lack of coherence often noted in memories of traumatic events is not due to a lack of coherence either of the memory itself or of the narrative that integrates the memory into the life story. Rather, making the traumatic memory central to the life story correlates positively with increased PTSD symptoms. The basic-systems approach has yielded insights into autobiographical memory's phenomenology, neuropsychology, clinical disorders, and neural basis. (PsycINFO Database Record (c) 2016 APA, all rights reserved)","container-title":"Current Directions in Psychological Science","DOI":"10.1111/j.0963-7214.2005.00339.x","ISSN":"1467-8721","issue":"2","note":"publisher-place: United Kingdom\npublisher: Blackwell Publishing","page":"79-83","source":"APA PsycNet","title":"A Basic-Systems Approach to Autobiographical Memory","volume":"14","author":[{"family":"Rubin","given":"David C."}],"issued":{"date-parts":[["2005"]]}}},{"id":3655,"uris":["http://zotero.org/users/7052761/items/EM6APDAG"],"itemData":{"id":3655,"type":"article-journal","abstract":"Environmental influences affect the brain and mental health and often are social or have social components, even the more complex societal or area-level exposures. This Review discusses the neural correlates of adverse and protective social influences and argues that innovative methods may provide ecologically more valid insights in social neuroscience.","container-title":"Nature Neuroscience","DOI":"10.1038/nn.4108","ISSN":"1546-1726","issue":"10","journalAbbreviation":"Nat Neurosci","language":"en","license":"2015 Springer Nature America, Inc.","note":"publisher: Nature Publishing Group","page":"1421-1431","source":"www.nature.com","title":"Environmental influence in the brain, human welfare and mental health","volume":"18","author":[{"family":"Tost","given":"Heike"},{"family":"Champagne","given":"Frances A."},{"family":"Meyer-Lindenberg","given":"Andreas"}],"issued":{"date-parts":[["2015",10]]}}},{"id":3639,"uris":["http://zotero.org/users/7052761/items/BGLRWWWQ"],"itemData":{"id":3639,"type":"book","collection-number":"2","collection-title":"Oxford psychology series","edition":"Reprinted","event-place":"Oxford","ISBN":"978-0-19-852102-0","language":"eng","number-of-pages":"351","publisher":"Clarendon Press","publisher-place":"Oxford","source":"K10plus ISBN","title":"Elements of episodic memory","author":[{"family":"Tulving","given":"Endel"}],"issued":{"date-parts":[["1992"]]}}}],"schema":"https://github.com/citation-style-language/schema/raw/master/csl-citation.json"} </w:instrText>
      </w:r>
      <w:r w:rsidR="00955D8F">
        <w:fldChar w:fldCharType="separate"/>
      </w:r>
      <w:r w:rsidR="007F237D" w:rsidRPr="007F237D">
        <w:rPr>
          <w:rFonts w:cs="Arial"/>
        </w:rPr>
        <w:t>(Dunbar, 2009; Lunardi et al., 2021; Rubin, 2005; Tost et al., 2015; Tulving, 1992)</w:t>
      </w:r>
      <w:r w:rsidR="00955D8F">
        <w:fldChar w:fldCharType="end"/>
      </w:r>
      <w:r w:rsidRPr="00E83B86">
        <w:t>.</w:t>
      </w:r>
    </w:p>
    <w:p w14:paraId="12E0FC9A" w14:textId="4406AB2D" w:rsidR="00505D34" w:rsidRPr="00CA6B30" w:rsidRDefault="00505D34" w:rsidP="00505D34">
      <w:pPr>
        <w:ind w:firstLine="720"/>
      </w:pPr>
      <w:r>
        <w:t>A</w:t>
      </w:r>
      <w:r w:rsidRPr="00505D34">
        <w:t xml:space="preserve"> memória </w:t>
      </w:r>
      <w:r>
        <w:t xml:space="preserve">social, portanto, </w:t>
      </w:r>
      <w:r w:rsidRPr="00505D34">
        <w:t xml:space="preserve">funciona como o eixo integrador da experiência subjetiva e social, ancorando o indivíduo em um espaço-tempo interno que possibilita tanto a construção da identidade </w:t>
      </w:r>
      <w:r w:rsidR="00CA6B30">
        <w:t>individual</w:t>
      </w:r>
      <w:r w:rsidRPr="00505D34">
        <w:t xml:space="preserve"> quanto a adaptação comportamental em contextos sociais complexos</w:t>
      </w:r>
      <w:r w:rsidR="002A5923">
        <w:t xml:space="preserve"> </w:t>
      </w:r>
      <w:r w:rsidR="002A5923">
        <w:fldChar w:fldCharType="begin"/>
      </w:r>
      <w:r w:rsidR="007F237D">
        <w:instrText xml:space="preserve"> ADDIN ZOTERO_ITEM CSL_CITATION {"citationID":"qlFswufy","properties":{"formattedCitation":"(Insel &amp; Fernald, 2004; Lieberman, 2013)","plainCitation":"(Insel &amp; Fernald, 2004; Lieberman, 2013)","noteIndex":0},"citationItems":[{"id":3659,"uris":["http://zotero.org/users/7052761/items/4EJ7G8CJ"],"itemData":{"id":3659,"type":"article-journal","abstract":"Because information about gender, kin, and social status are essential for reproduction and survival, it seems likely that specialized neural mechanisms have evolved to process social information. This review describes recent studies of four aspects of social information processing: (a) perception of social signals via the vomeronasal system, (b) formation of social memory via long-term filial imprinting and short-term recognition, (c) motivation for parental behavior and pair bonding, and (d) the neural consequences of social experience. Results from these studies and some recent functional imaging studies in human subjects begin to define the circuitry of a \"social brain.\" Such neurodevelopmental disorders as autism and schizophrenia are characterized by abnormal social cognition and corresponding deficits in social behavior; thus social neuroscience offers an important opportunity for translational research with an impact on public health.","container-title":"Annual Review of Neuroscience","DOI":"10.1146/annurev.neuro.27.070203.144148","ISSN":"0147-006X","journalAbbreviation":"Annu Rev Neurosci","language":"eng","note":"PMID: 15217348","page":"697-722","source":"PubMed","title":"How the brain processes social information: searching for the social brain","title-short":"How the brain processes social information","volume":"27","author":[{"family":"Insel","given":"Thomas R."},{"family":"Fernald","given":"Russell D."}],"issued":{"date-parts":[["2004"]]}}},{"id":3658,"uris":["http://zotero.org/users/7052761/items/ZW8S4GNT"],"itemData":{"id":3658,"type":"book","abstract":"Based on over a decade of groundbreaking research in social neuroscience—how our brains respond to social engagement— Social reveals that our need to connect with other people is even more fundamental than our need for food and shelter. It is, Dr. Lieberman argues, the key to our success as a species, and one of the reasons we evolved large brains in the first place. Lieberman and others have discovered that when our brain is not focused on a specific task, it uses its spare time—its default network—to learn about and master the social world. We've been told that we need to commit 10,000 hours to become a master at complex skills such as chess, music, and math. Lieberman argues that each and every one of us has spent 10,000 hours learning to make sense of people and groups and our place in them by the time we are ten. So many of us believe that physical pain and pleasure guide our actions Yet new research by Lieberman and his UCLA colleagues using fMRI (frontal magnetic resonance imaging) shows that our brains respond to social pain and pleasure just as powerfully as they do to physical plain and pleasure. When asked what the most painful experiences in our lives have been, most of us do not recount an injury or a broken limb—we describe the death of a loved one or the end of a marriage or relationship. Fortunately, the brain has evolved sophisticated mechanisms for securing our place in the social world. We have a unique ability among species to \"read\" other people's minds, to figure out their hopes, fears, and motivations, allowing us to effectively coordinate our lives with one another. This wiring in our brains allows us to restrain our selfish impulses for the greater social good. And it is the malfunctioning of this wiring that leads to the challenges in connecting with others that we see in autism. Based on the latest, cutting-edge research. Social has startling real-world implications for how we work and live. The surprising insights revealed in this pioneering book suggest ways to improve learning in schools, make the workplace more productive, and improve our overall happiness and well-being. (PsycInfo Database Record (c) 2025 APA, all rights reserved)","collection-title":"Social: Why our brains are wired to connect","event-place":"New York, NY, US","ISBN":"978-0-307-88909-6","note":"page: x, 374","number-of-pages":"x, 374","publisher":"Crown Publishers/Random House","publisher-place":"New York, NY, US","source":"APA PsycNet","title":"Social: Why our brains are wired to connect","title-short":"Social","author":[{"family":"Lieberman","given":"Matthew D."}],"issued":{"date-parts":[["2013"]]}}}],"schema":"https://github.com/citation-style-language/schema/raw/master/csl-citation.json"} </w:instrText>
      </w:r>
      <w:r w:rsidR="002A5923">
        <w:fldChar w:fldCharType="separate"/>
      </w:r>
      <w:r w:rsidR="007F237D" w:rsidRPr="007F237D">
        <w:rPr>
          <w:rFonts w:cs="Arial"/>
        </w:rPr>
        <w:t>(Insel &amp; Fernald, 2004; Lieberman, 2013)</w:t>
      </w:r>
      <w:r w:rsidR="002A5923">
        <w:fldChar w:fldCharType="end"/>
      </w:r>
      <w:r w:rsidRPr="00505D34">
        <w:t xml:space="preserve">. Essa capacidade de transitar entre o passado recordado e o futuro antecipado é, portanto, um componente central da cognição </w:t>
      </w:r>
      <w:r>
        <w:t>em</w:t>
      </w:r>
      <w:r w:rsidRPr="00505D34">
        <w:t xml:space="preserve"> espécies sociais, garantindo </w:t>
      </w:r>
      <w:r>
        <w:t>a</w:t>
      </w:r>
      <w:r w:rsidRPr="00505D34">
        <w:t xml:space="preserve"> sobrevivência em ambientes dinâmicos</w:t>
      </w:r>
      <w:r w:rsidR="002A5923">
        <w:t xml:space="preserve"> </w:t>
      </w:r>
      <w:r w:rsidR="002A5923">
        <w:fldChar w:fldCharType="begin"/>
      </w:r>
      <w:r w:rsidR="007F237D">
        <w:instrText xml:space="preserve"> ADDIN ZOTERO_ITEM CSL_CITATION {"citationID":"vZMqlHQm","properties":{"formattedCitation":"(Markowitsch &amp; Staniloiu, 2011; Spreng et al., 2009)","plainCitation":"(Markowitsch &amp; Staniloiu, 2011; Spreng et al., 2009)","noteIndex":0},"citationItems":[{"id":3661,"uris":["http://zotero.org/users/7052761/items/IQ5K5BSQ"],"itemData":{"id":3661,"type":"article-journal","abstract":"Memory is a general attribute of living species, whose diversification reflects both evolutionary and developmental processes. Episodic-autobiographical memory (EAM) is regarded as the highest human ontogenetic achievement and as probably being uniquely human. EAM, autonoetic consciousness and the self are intimately linked, grounding, supporting and enriching each other’s development and cohesiveness. Their development is influenced by the socio-cultural–linguistic environment in which an individual grows up or lives. On the other hand, through language, textualization and social exchange, all three elements leak into the world and participate to the dynamic shaping and re-shaping of the cultural scaffolding of the self, mental time traveling and EAM formation. Deficits in self-related processing, autonetic consciousness, emotional processing and mental time traveling can all lead to or co-occur with EAM disturbances, as we illustrate by findings from EAM impairments associated with neurological or psychiatric disorders.","collection-title":"Brain and Self: Bridging the Gap","container-title":"Consciousness and Cognition","DOI":"10.1016/j.concog.2010.09.005","ISSN":"1053-8100","issue":"1","journalAbbreviation":"Consciousness and Cognition","page":"16-39","source":"ScienceDirect","title":"Memory, autonoetic consciousness, and the self","volume":"20","author":[{"family":"Markowitsch","given":"Hans J."},{"family":"Staniloiu","given":"Angelica"}],"issued":{"date-parts":[["2011",3,1]]}}},{"id":3669,"uris":["http://zotero.org/users/7052761/items/F8QKUT58"],"itemData":{"id":3669,"type":"article-journal","abstract":"A core brain network has been proposed to underlie a number of different processes, including remembering, prospection, navigation, and theory of mind [Buckner, R. L., &amp;amp; Carroll, D. C. Self-projection and the brain. Trends in Cognitive Sciences, 11, 49–57, 2007]. This purported network—medial prefrontal, medial-temporal, and medial and lateral parietal regions—is similar to that observed during default-mode processing and has been argued to represent self-projection [Buckner, R. L., &amp;amp; Carroll, D. C. Self-projection and the brain. Trends in Cognitive Sciences, 11, 49–57, 2007] or scene-construction [Hassabis, D., &amp;amp; Maguire, E. A. Deconstructing episodic memory with construction. Trends in Cognitive Sciences, 11, 299–306, 2007]. To date, no systematic and quantitative demonstration of evidence for this common network has been presented. Using the activation likelihood estimation (ALE) approach, we conducted four separate quantitative meta-analyses of neuroimaging studies on: (a) autobiographical memory, (b) navigation, (c) theory of mind, and (d) default mode. A conjunction analysis between these domains demonstrated a high degree of correspondence. We compared these findings to a separate ALE analysis of prospection studies and found additional correspondence. Across all domains, and consistent with the proposed network, correspondence was found within the medial-temporal lobe, precuneus, posterior cingulate, retrosplenial cortex, and the temporo-parietal junction. Additionally, this study revealed that the core network extends to lateral prefrontal and occipital cortices. Autobiographical memory, prospection, theory of mind, and default mode demonstrated further reliable involvement of the medial prefrontal cortex and lateral temporal cortices. Autobiographical memory and theory of mind, previously studied as distinct, exhibited extensive functional overlap. These findings represent quantitative evidence for a core network underlying a variety of cognitive domains.","container-title":"Journal of Cognitive Neuroscience","DOI":"10.1162/jocn.2008.21029","ISSN":"0898-929X","issue":"3","journalAbbreviation":"J Cogn Neurosci","page":"489-510","source":"Silverchair","title":"The Common Neural Basis of Autobiographical Memory, Prospection, Navigation, Theory of Mind, and the Default Mode: A Quantitative Meta-analysis","title-short":"The Common Neural Basis of Autobiographical Memory, Prospection, Navigation, Theory of Mind, and the Default Mode","volume":"21","author":[{"family":"Spreng","given":"R. Nathan"},{"family":"Mar","given":"Raymond A."},{"family":"Kim","given":"Alice S. N."}],"issued":{"date-parts":[["2009",3,1]]}}}],"schema":"https://github.com/citation-style-language/schema/raw/master/csl-citation.json"} </w:instrText>
      </w:r>
      <w:r w:rsidR="002A5923">
        <w:fldChar w:fldCharType="separate"/>
      </w:r>
      <w:r w:rsidR="007F237D" w:rsidRPr="007F237D">
        <w:rPr>
          <w:rFonts w:cs="Arial"/>
        </w:rPr>
        <w:t>(Markowitsch &amp; Staniloiu, 2011; Spreng et al., 2009)</w:t>
      </w:r>
      <w:r w:rsidR="002A5923">
        <w:fldChar w:fldCharType="end"/>
      </w:r>
    </w:p>
    <w:p w14:paraId="5AABA3E4" w14:textId="77777777" w:rsidR="002F6043" w:rsidRPr="00CA6B30" w:rsidRDefault="002F6043" w:rsidP="002F6043"/>
    <w:p w14:paraId="48C1A860" w14:textId="72162141" w:rsidR="002F6043" w:rsidRPr="00CA6B30" w:rsidRDefault="002F6043" w:rsidP="00351C49">
      <w:pPr>
        <w:pStyle w:val="Ttulo2"/>
      </w:pPr>
      <w:r w:rsidRPr="00CA6B30">
        <w:t>O hipocampo como bibli</w:t>
      </w:r>
      <w:r w:rsidR="00CA6B30">
        <w:t>O</w:t>
      </w:r>
      <w:r w:rsidRPr="00CA6B30">
        <w:t>tecário</w:t>
      </w:r>
    </w:p>
    <w:p w14:paraId="1C576D6B" w14:textId="5606A071" w:rsidR="002F6043" w:rsidRDefault="002F6043" w:rsidP="002F6043"/>
    <w:p w14:paraId="01BF36F7" w14:textId="5F59F4A7" w:rsidR="00CA6B30" w:rsidRPr="00CA6B30" w:rsidRDefault="00CA6B30" w:rsidP="002F6043">
      <w:r>
        <w:t xml:space="preserve">A ancoragem da experiência social em um “espaço-tempo interno” levanta a questão fundamental sobre qual mecanismo neural permite essa indexação contextual. Se a memória social é, em sua essência, uma forma de memória episódica, ela deve, por </w:t>
      </w:r>
      <w:r>
        <w:lastRenderedPageBreak/>
        <w:t xml:space="preserve">definição, depender da estrutura cerebral primária responsável pela codificação do contexto. O hipocampo, nesse cenário, assume papel central. Embora classicamente associado à formação de “mapas cognitivos” para a navegação espacial </w:t>
      </w:r>
      <w:r>
        <w:fldChar w:fldCharType="begin"/>
      </w:r>
      <w:r>
        <w:instrText xml:space="preserve"> ADDIN ZOTERO_ITEM CSL_CITATION {"citationID":"Xx7zvQdz","properties":{"formattedCitation":"(O\\uc0\\u8217{}Keefe, 1976)","plainCitation":"(O’Keefe, 1976)","noteIndex":0},"citationItems":[{"id":1058,"uris":["http://zotero.org/groups/4964477/items/8YLQCNBD"],"itemData":{"id":1058,"type":"article-journal","container-title":"Experimental Neurology","DOI":"10.1016/0014-4886(76)90055-8","ISSN":"00144886","issue":"1","journalAbbreviation":"Experimental Neurology","language":"en","license":"https://www.elsevier.com/tdm/userlicense/1.0/","page":"78-109","source":"DOI.org (Crossref)","title":"Place units in the hippocampus of the freely moving rat","volume":"51","author":[{"family":"O'Keefe","given":"John"}],"issued":{"date-parts":[["1976",1]]}}}],"schema":"https://github.com/citation-style-language/schema/raw/master/csl-citation.json"} </w:instrText>
      </w:r>
      <w:r>
        <w:fldChar w:fldCharType="separate"/>
      </w:r>
      <w:r w:rsidR="007F237D" w:rsidRPr="007F237D">
        <w:rPr>
          <w:rFonts w:cs="Arial"/>
        </w:rPr>
        <w:t>(O’Keefe, 1976)</w:t>
      </w:r>
      <w:r>
        <w:fldChar w:fldCharType="end"/>
      </w:r>
      <w:r>
        <w:t xml:space="preserve">, evidências contemporâneas expandem essa função, indicando que o hipocampo atua como um sistema geral de processamento contextual, integrando dimensões espaciais, temporais e relacionais da experiência </w:t>
      </w:r>
      <w:r>
        <w:fldChar w:fldCharType="begin"/>
      </w:r>
      <w:r w:rsidR="007F237D">
        <w:instrText xml:space="preserve"> ADDIN ZOTERO_ITEM CSL_CITATION {"citationID":"YOGdIc4e","properties":{"formattedCitation":"(Eichenbaum, 2017; Smith &amp; Mizumori, 2006)","plainCitation":"(Eichenbaum, 2017; Smith &amp; Mizumori, 2006)","noteIndex":0},"citationItems":[{"id":3617,"uris":["http://zotero.org/users/7052761/items/BR3ZGM62"],"itemData":{"id":3617,"type":"article-journal","abstract":"There is considerable recent evidence that, in addition to its representation of space, the hippocampus also represents the temporal organization of memories. Time plays a central role in episodic memory, and studies have identified the hippocampus as playing an essential role in the temporal organization of memories in humans and animals. Temporal organization is supported by a gradually changing temporal context signal in the hippocampus, and this changing context signal involves ‘time cells’ in the hippocampus that code sequential moments in temporally organized experiences. Finally, hippocampal temporal context representations involve mechanisms in intrinsic circuitry and oscillatory patterns throughout hippocampal subfields and depend on inputs from parahippocampal cortical areas as well as a widespread temporal processing system in the neocortex.","collection-title":"Memory in time and space","container-title":"Current Opinion in Behavioral Sciences","DOI":"10.1016/j.cobeha.2017.06.010","ISSN":"23521546","journalAbbreviation":"Current Opinion in Behavioral Sciences","language":"en","page":"65-70","source":"DOI.org (Crossref)","title":"Time (and space) in the hippocampus","volume":"17","author":[{"family":"Eichenbaum","given":"Howard"}],"issued":{"date-parts":[["2017",10]]}}},{"id":3630,"uris":["http://zotero.org/users/7052761/items/RCRDK3QB"],"itemData":{"id":3630,"type":"article-journal","abstract":"Abstract\n            Although most observers agree that the hippocampus has a critical role in learning and memory, there remains considerable debate about the precise functional contribution of the hippocampus to these processes. Two of the most influential accounts hold that the primary function of the hippocampus is to generate cognitive maps and to mediate episodic memory processes. The well</w:instrText>
      </w:r>
      <w:r w:rsidR="007F237D">
        <w:rPr>
          <w:rFonts w:ascii="Cambria Math" w:hAnsi="Cambria Math" w:cs="Cambria Math"/>
        </w:rPr>
        <w:instrText>‐</w:instrText>
      </w:r>
      <w:r w:rsidR="007F237D">
        <w:instrText>documented spatial firing patterns (place fields) of hippocampal neurons in rodents, along with the spatial learning impairments observed with hippocampal damage support the cognitive mapping hypothesis. The amnesia for personally experienced events seen in humans with hippocampal damage and the data of animal models, which show severe memory deficits associated with hippocampal lesions, support the episodic memory account. Although an extensive literature supports each of these hypotheses, a specific contribution of place cells to episodic memory has not been clearly demonstrated. Recent data from our laboratory, together with previous findings, indicate that hippocampal place fields and neuronal responses to task</w:instrText>
      </w:r>
      <w:r w:rsidR="007F237D">
        <w:rPr>
          <w:rFonts w:ascii="Cambria Math" w:hAnsi="Cambria Math" w:cs="Cambria Math"/>
        </w:rPr>
        <w:instrText>‐</w:instrText>
      </w:r>
      <w:r w:rsidR="007F237D">
        <w:instrText>relevant stimuli are highly sensitive to the context, even when the contexts are defined by abstract task demands rather than the spatial geometry of the environment. On the basis of these findings, it is proposed that place fields reflect a more general context processing function of the hippocampus. Hippocampal context representations could serve to differentiate contexts and prime the relevant memories and behaviors. Since episodic memories, by definition, include information about the time and place where the episode occurred, contextual information is a necessary prerequisite for any episodic memory. Thus, place fields contribute importantly to episodic memory as part of the needed context representations. Additionally, recent findings indicate that hippocampal neurons differentiate contexts at progressively finer levels of detail, suggesting a hierarchical coding scheme which, if combined with temporal information, could provide a means of differentiating memory episodes. © 2006 Wiley</w:instrText>
      </w:r>
      <w:r w:rsidR="007F237D">
        <w:rPr>
          <w:rFonts w:ascii="Cambria Math" w:hAnsi="Cambria Math" w:cs="Cambria Math"/>
        </w:rPr>
        <w:instrText>‐</w:instrText>
      </w:r>
      <w:r w:rsidR="007F237D">
        <w:instrText xml:space="preserve">Liss, Inc.","container-title":"Hippocampus","DOI":"10.1002/hipo.20208","ISSN":"1050-9631, 1098-1063","issue":"9","journalAbbreviation":"Hippocampus","language":"en","license":"http://onlinelibrary.wiley.com/termsAndConditions#vor","page":"716-729","source":"DOI.org (Crossref)","title":"Hippocampal place cells, context, and episodic memory","volume":"16","author":[{"family":"Smith","given":"David M."},{"family":"Mizumori","given":"Sheri J.Y."}],"issued":{"date-parts":[["2006",9]]}}}],"schema":"https://github.com/citation-style-language/schema/raw/master/csl-citation.json"} </w:instrText>
      </w:r>
      <w:r>
        <w:fldChar w:fldCharType="separate"/>
      </w:r>
      <w:r w:rsidR="007F237D" w:rsidRPr="007F237D">
        <w:rPr>
          <w:rFonts w:cs="Arial"/>
        </w:rPr>
        <w:t>(Eichenbaum, 2017; Smith &amp; Mizumori, 2006)</w:t>
      </w:r>
      <w:r>
        <w:fldChar w:fldCharType="end"/>
      </w:r>
      <w:r>
        <w:t>. Ele funciona como um “bibliotecário” neural que organiza e indexa as memórias episódicas, permitindo não apenas a recordação de um evento, mas também a distinção precisa entre eventos semelhantes.</w:t>
      </w:r>
    </w:p>
    <w:p w14:paraId="4C3B5F5F" w14:textId="46CA20DF" w:rsidR="00E86144" w:rsidRDefault="006036AA" w:rsidP="00E86144">
      <w:pPr>
        <w:ind w:firstLine="720"/>
        <w:rPr>
          <w:rFonts w:cs="Arial"/>
        </w:rPr>
      </w:pPr>
      <w:r w:rsidRPr="00AF4CFC">
        <w:rPr>
          <w:rFonts w:cs="Arial"/>
        </w:rPr>
        <w:t>A ancoragem da experiência social dentro de um "espaço-tempo interno" levanta a questão fundamental de qual mecanismo neural é responsável por essa indexação. Se a memória social é, em sua essência, uma forma de memória episódica, então ela deve, por definição, depender da estrutura cerebral primária responsável pela codificação contextual. O hipocampo, neste cenário, assume o papel central</w:t>
      </w:r>
      <w:r w:rsidR="000B63E8" w:rsidRPr="00AF4CFC">
        <w:rPr>
          <w:rFonts w:cs="Arial"/>
        </w:rPr>
        <w:t>;</w:t>
      </w:r>
      <w:r w:rsidRPr="00AF4CFC">
        <w:rPr>
          <w:rFonts w:cs="Arial"/>
        </w:rPr>
        <w:t xml:space="preserve"> Embora classicamente associado à formação de "mapas cognitivos" para navegação espacial, a literatura contemporânea expandiu essa função, propondo que o hipocampo atua como um sistema geral de processamento de contexto </w:t>
      </w:r>
      <w:r w:rsidR="000B63E8" w:rsidRPr="00AF4CFC">
        <w:rPr>
          <w:rFonts w:cs="Arial"/>
        </w:rPr>
        <w:fldChar w:fldCharType="begin"/>
      </w:r>
      <w:r w:rsidR="007F237D">
        <w:rPr>
          <w:rFonts w:cs="Arial"/>
        </w:rPr>
        <w:instrText xml:space="preserve"> ADDIN ZOTERO_ITEM CSL_CITATION {"citationID":"2vm4eKzL","properties":{"formattedCitation":"(Smith &amp; Mizumori, 2006)","plainCitation":"(Smith &amp; Mizumori, 2006)","noteIndex":0},"citationItems":[{"id":3630,"uris":["http://zotero.org/users/7052761/items/RCRDK3QB"],"itemData":{"id":3630,"type":"article-journal","abstract":"Abstract\n            Although most observers agree that the hippocampus has a critical role in learning and memory, there remains considerable debate about the precise functional contribution of the hippocampus to these processes. Two of the most influential accounts hold that the primary function of the hippocampus is to generate cognitive maps and to mediate episodic memory processes. The well</w:instrText>
      </w:r>
      <w:r w:rsidR="007F237D">
        <w:rPr>
          <w:rFonts w:ascii="Cambria Math" w:hAnsi="Cambria Math" w:cs="Cambria Math"/>
        </w:rPr>
        <w:instrText>‐</w:instrText>
      </w:r>
      <w:r w:rsidR="007F237D">
        <w:rPr>
          <w:rFonts w:cs="Arial"/>
        </w:rPr>
        <w:instrText>documented spatial firing patterns (place fields) of hippocampal neurons in rodents, along with the spatial learning impairments observed with hippocampal damage support the cognitive mapping hypothesis. The amnesia for personally experienced events seen in humans with hippocampal damage and the data of animal models, which show severe memory deficits associated with hippocampal lesions, support the episodic memory account. Although an extensive literature supports each of these hypotheses, a specific contribution of place cells to episodic memory has not been clearly demonstrated. Recent data from our laboratory, together with previous findings, indicate that hippocampal place fields and neuronal responses to task</w:instrText>
      </w:r>
      <w:r w:rsidR="007F237D">
        <w:rPr>
          <w:rFonts w:ascii="Cambria Math" w:hAnsi="Cambria Math" w:cs="Cambria Math"/>
        </w:rPr>
        <w:instrText>‐</w:instrText>
      </w:r>
      <w:r w:rsidR="007F237D">
        <w:rPr>
          <w:rFonts w:cs="Arial"/>
        </w:rPr>
        <w:instrText>relevant stimuli are highly sensitive to the context, even when the contexts are defined by abstract task demands rather than the spatial geometry of the environment. On the basis of these findings, it is proposed that place fields reflect a more general context processing function of the hippocampus. Hippocampal context representations could serve to differentiate contexts and prime the relevant memories and behaviors. Since episodic memories, by definition, include information about the time and place where the episode occurred, contextual information is a necessary prerequisite for any episodic memory. Thus, place fields contribute importantly to episodic memory as part of the needed context representations. Additionally, recent findings indicate that hippocampal neurons differentiate contexts at progressively finer levels of detail, suggesting a hierarchical coding scheme which, if combined with temporal information, could provide a means of differentiating memory episodes. © 2006 Wiley</w:instrText>
      </w:r>
      <w:r w:rsidR="007F237D">
        <w:rPr>
          <w:rFonts w:ascii="Cambria Math" w:hAnsi="Cambria Math" w:cs="Cambria Math"/>
        </w:rPr>
        <w:instrText>‐</w:instrText>
      </w:r>
      <w:r w:rsidR="007F237D">
        <w:rPr>
          <w:rFonts w:cs="Arial"/>
        </w:rPr>
        <w:instrText xml:space="preserve">Liss, Inc.","container-title":"Hippocampus","DOI":"10.1002/hipo.20208","ISSN":"1050-9631, 1098-1063","issue":"9","journalAbbreviation":"Hippocampus","language":"en","license":"http://onlinelibrary.wiley.com/termsAndConditions#vor","page":"716-729","source":"DOI.org (Crossref)","title":"Hippocampal place cells, context, and episodic memory","volume":"16","author":[{"family":"Smith","given":"David M."},{"family":"Mizumori","given":"Sheri J.Y."}],"issued":{"date-parts":[["2006",9]]}}}],"schema":"https://github.com/citation-style-language/schema/raw/master/csl-citation.json"} </w:instrText>
      </w:r>
      <w:r w:rsidR="000B63E8" w:rsidRPr="00AF4CFC">
        <w:rPr>
          <w:rFonts w:cs="Arial"/>
        </w:rPr>
        <w:fldChar w:fldCharType="separate"/>
      </w:r>
      <w:r w:rsidR="007F237D" w:rsidRPr="007F237D">
        <w:rPr>
          <w:rFonts w:cs="Arial"/>
        </w:rPr>
        <w:t>(Smith &amp; Mizumori, 2006)</w:t>
      </w:r>
      <w:r w:rsidR="000B63E8" w:rsidRPr="00AF4CFC">
        <w:rPr>
          <w:rFonts w:cs="Arial"/>
        </w:rPr>
        <w:fldChar w:fldCharType="end"/>
      </w:r>
      <w:r w:rsidR="000B63E8" w:rsidRPr="00AF4CFC">
        <w:rPr>
          <w:rFonts w:cs="Arial"/>
        </w:rPr>
        <w:t xml:space="preserve">. </w:t>
      </w:r>
      <w:r w:rsidRPr="00AF4CFC">
        <w:rPr>
          <w:rFonts w:cs="Arial"/>
        </w:rPr>
        <w:t>Ele é o "bibliotecário" que organiza e cataloga as memórias episódicas, permitindo não apenas a recordação de um evento, mas também a distinção precisa entre eventos semelhantes.</w:t>
      </w:r>
    </w:p>
    <w:p w14:paraId="2CA6014E" w14:textId="5CD8D584" w:rsidR="00E86144" w:rsidRPr="00E86144" w:rsidRDefault="00E86144" w:rsidP="00E86144">
      <w:pPr>
        <w:ind w:firstLine="720"/>
        <w:rPr>
          <w:rFonts w:cs="Arial"/>
        </w:rPr>
      </w:pPr>
      <w:r w:rsidRPr="00E86144">
        <w:rPr>
          <w:rFonts w:cs="Arial"/>
        </w:rPr>
        <w:t xml:space="preserve">Essa expansão funcional reflete uma complexa organização </w:t>
      </w:r>
      <w:proofErr w:type="spellStart"/>
      <w:r w:rsidRPr="00E86144">
        <w:rPr>
          <w:rFonts w:cs="Arial"/>
        </w:rPr>
        <w:t>neuroanatômica</w:t>
      </w:r>
      <w:proofErr w:type="spellEnd"/>
      <w:r w:rsidRPr="00E86144">
        <w:rPr>
          <w:rFonts w:cs="Arial"/>
        </w:rPr>
        <w:t xml:space="preserve"> ao longo do eixo longitudinal e também transversal do hipocampo. A formação hipocampal possui uma arquitetura bem definida que se conecta ao longo de sua anatomia, composta pelo hipocampo (CA1, CA2, CA3), o giro denteado e o complexo </w:t>
      </w:r>
      <w:proofErr w:type="spellStart"/>
      <w:r w:rsidRPr="00E86144">
        <w:rPr>
          <w:rFonts w:cs="Arial"/>
        </w:rPr>
        <w:t>subicular</w:t>
      </w:r>
      <w:proofErr w:type="spellEnd"/>
      <w:r w:rsidRPr="00E86144">
        <w:rPr>
          <w:rFonts w:cs="Arial"/>
        </w:rPr>
        <w:t xml:space="preserve"> </w:t>
      </w:r>
      <w:r w:rsidR="007F237D">
        <w:rPr>
          <w:rFonts w:cs="Arial"/>
        </w:rPr>
        <w:fldChar w:fldCharType="begin"/>
      </w:r>
      <w:r w:rsidR="007F237D">
        <w:rPr>
          <w:rFonts w:cs="Arial"/>
        </w:rPr>
        <w:instrText xml:space="preserve"> ADDIN ZOTERO_ITEM CSL_CITATION {"citationID":"RyNa4ofe","properties":{"formattedCitation":"(Dudai, 2002; {\\i{}The Hippocampus Book}, 2007)","plainCitation":"(Dudai, 2002; The Hippocampus Book, 2007)","noteIndex":0},"citationItems":[{"id":3594,"uris":["http://zotero.org/users/7052761/items/GBX3B3DA"],"itemData":{"id":3594,"type":"book","abstract":"\"This is a companion to the language of memory research. It consists of over 130 entries, bound within a coherent conceptual framework. Each entry starts with a definition, or a set of definitions, followed by in-depth and provocative discussion of the origin, meaning, usage and applicability of ideas and problems central to the neuroscience of memory and scientific culture at large. The entries, linked by webs of associations, can be read and enjoyed, and provide a versatile tool kit: a source for definitions, information and further reading; a trigger for contemplation, discussion and experimentation; and an aid to study, teaching and debate in classes and seminars. The text is supported by an extensive reference listing, and there is a comprehensive subject index, incorporating a much wider range of terms relevant to the field.\" \"Memory from A to Z provides a unique, highly valuable introduction to the field of memory for students and researchers approaching the subject for the first time, while at the same time serving and stimulating the more experienced.\"--Jacket","event-place":"Oxford","ISBN":"978-1-4175-9948-6","language":"eng","number-of-pages":"1","publisher":"Oxford University Press","publisher-place":"Oxford","source":"K10plus ISBN","title":"Memory from A to Z: keywords, concepts, and beyond","title-short":"Memory from A to Z","editor":[{"family":"Dudai","given":"Yadin"}],"issued":{"date-parts":[["2002"]]}}},{"id":3680,"uris":["http://zotero.org/users/7052761/items/XZ5EELIW"],"itemData":{"id":3680,"type":"book","call-number":"612.825","event-place":"Oxford","ISBN":"978-0-19-510027-3","language":"eng","publisher":"Oxford University Press","publisher-place":"Oxford","source":"BnF ISBN","title":"The Hippocampus book","issued":{"date-parts":[["2007"]]}}}],"schema":"https://github.com/citation-style-language/schema/raw/master/csl-citation.json"} </w:instrText>
      </w:r>
      <w:r w:rsidR="007F237D">
        <w:rPr>
          <w:rFonts w:cs="Arial"/>
        </w:rPr>
        <w:fldChar w:fldCharType="separate"/>
      </w:r>
      <w:r w:rsidR="007F237D" w:rsidRPr="007F237D">
        <w:rPr>
          <w:rFonts w:cs="Arial"/>
        </w:rPr>
        <w:t xml:space="preserve">(Dudai, 2002; </w:t>
      </w:r>
      <w:r w:rsidR="007F237D" w:rsidRPr="007F237D">
        <w:rPr>
          <w:rFonts w:cs="Arial"/>
          <w:i/>
          <w:iCs/>
        </w:rPr>
        <w:t>The Hippocampus Book</w:t>
      </w:r>
      <w:r w:rsidR="007F237D" w:rsidRPr="007F237D">
        <w:rPr>
          <w:rFonts w:cs="Arial"/>
        </w:rPr>
        <w:t>, 2007)</w:t>
      </w:r>
      <w:r w:rsidR="007F237D">
        <w:rPr>
          <w:rFonts w:cs="Arial"/>
        </w:rPr>
        <w:fldChar w:fldCharType="end"/>
      </w:r>
      <w:r w:rsidR="007F237D">
        <w:rPr>
          <w:rFonts w:cs="Arial"/>
        </w:rPr>
        <w:t xml:space="preserve">. </w:t>
      </w:r>
      <w:r w:rsidRPr="00E86144">
        <w:rPr>
          <w:rFonts w:cs="Arial"/>
        </w:rPr>
        <w:t>Adicionalmente, o hipocampo é circundado por um</w:t>
      </w:r>
      <w:r>
        <w:rPr>
          <w:rFonts w:cs="Arial"/>
        </w:rPr>
        <w:t>a</w:t>
      </w:r>
      <w:r w:rsidRPr="00E86144">
        <w:rPr>
          <w:rFonts w:cs="Arial"/>
        </w:rPr>
        <w:t xml:space="preserve"> rede de estruturas corticais e subcorticais, sendo o córtex entorrinal a principal forma por onde ocorre o fluxo de informações para o hipocampo através da via </w:t>
      </w:r>
      <w:proofErr w:type="spellStart"/>
      <w:r w:rsidRPr="00E86144">
        <w:rPr>
          <w:rFonts w:cs="Arial"/>
        </w:rPr>
        <w:t>perforante</w:t>
      </w:r>
      <w:proofErr w:type="spellEnd"/>
      <w:r w:rsidRPr="00E86144">
        <w:rPr>
          <w:rFonts w:cs="Arial"/>
        </w:rPr>
        <w:t xml:space="preserve"> </w:t>
      </w:r>
      <w:r w:rsidR="007F237D">
        <w:rPr>
          <w:rFonts w:cs="Arial"/>
        </w:rPr>
        <w:fldChar w:fldCharType="begin"/>
      </w:r>
      <w:r w:rsidR="007F237D">
        <w:rPr>
          <w:rFonts w:cs="Arial"/>
        </w:rPr>
        <w:instrText xml:space="preserve"> ADDIN ZOTERO_ITEM CSL_CITATION {"citationID":"sYnrygh2","properties":{"formattedCitation":"(Dudai, 2002)","plainCitation":"(Dudai, 2002)","noteIndex":0},"citationItems":[{"id":3594,"uris":["http://zotero.org/users/7052761/items/GBX3B3DA"],"itemData":{"id":3594,"type":"book","abstract":"\"This is a companion to the language of memory research. It consists of over 130 entries, bound within a coherent conceptual framework. Each entry starts with a definition, or a set of definitions, followed by in-depth and provocative discussion of the origin, meaning, usage and applicability of ideas and problems central to the neuroscience of memory and scientific culture at large. The entries, linked by webs of associations, can be read and enjoyed, and provide a versatile tool kit: a source for definitions, information and further reading; a trigger for contemplation, discussion and experimentation; and an aid to study, teaching and debate in classes and seminars. The text is supported by an extensive reference listing, and there is a comprehensive subject index, incorporating a much wider range of terms relevant to the field.\" \"Memory from A to Z provides a unique, highly valuable introduction to the field of memory for students and researchers approaching the subject for the first time, while at the same time serving and stimulating the more experienced.\"--Jacket","event-place":"Oxford","ISBN":"978-1-4175-9948-6","language":"eng","number-of-pages":"1","publisher":"Oxford University Press","publisher-place":"Oxford","source":"K10plus ISBN","title":"Memory from A to Z: keywords, concepts, and beyond","title-short":"Memory from A to Z","editor":[{"family":"Dudai","given":"Yadin"}],"issued":{"date-parts":[["2002"]]}}}],"schema":"https://github.com/citation-style-language/schema/raw/master/csl-citation.json"} </w:instrText>
      </w:r>
      <w:r w:rsidR="007F237D">
        <w:rPr>
          <w:rFonts w:cs="Arial"/>
        </w:rPr>
        <w:fldChar w:fldCharType="separate"/>
      </w:r>
      <w:r w:rsidR="007F237D" w:rsidRPr="007F237D">
        <w:rPr>
          <w:rFonts w:cs="Arial"/>
        </w:rPr>
        <w:t>(Dudai, 2002)</w:t>
      </w:r>
      <w:r w:rsidR="007F237D">
        <w:rPr>
          <w:rFonts w:cs="Arial"/>
        </w:rPr>
        <w:fldChar w:fldCharType="end"/>
      </w:r>
      <w:r w:rsidR="007F237D">
        <w:rPr>
          <w:rFonts w:cs="Arial"/>
        </w:rPr>
        <w:t xml:space="preserve">. </w:t>
      </w:r>
      <w:r w:rsidRPr="00E86144">
        <w:rPr>
          <w:rFonts w:cs="Arial"/>
        </w:rPr>
        <w:t xml:space="preserve">Dentro dessa organização estrutural temos a circuitaria integrada do hipocampo denominada classicamente como via </w:t>
      </w:r>
      <w:proofErr w:type="spellStart"/>
      <w:r w:rsidRPr="00E86144">
        <w:rPr>
          <w:rFonts w:cs="Arial"/>
        </w:rPr>
        <w:t>trissináptica</w:t>
      </w:r>
      <w:proofErr w:type="spellEnd"/>
      <w:r w:rsidRPr="00E86144">
        <w:rPr>
          <w:rFonts w:cs="Arial"/>
        </w:rPr>
        <w:t xml:space="preserve"> é caracterizada por projeções vindas do córtex entorrinal para o giro denteado através da via </w:t>
      </w:r>
      <w:proofErr w:type="spellStart"/>
      <w:r w:rsidRPr="00E86144">
        <w:rPr>
          <w:rFonts w:cs="Arial"/>
        </w:rPr>
        <w:t>perforante</w:t>
      </w:r>
      <w:proofErr w:type="spellEnd"/>
      <w:r w:rsidRPr="00E86144">
        <w:rPr>
          <w:rFonts w:cs="Arial"/>
        </w:rPr>
        <w:t xml:space="preserve">, seguindo para CA3 por meio das fibras musgosas e de CA3 para CA1 através do colateral de </w:t>
      </w:r>
      <w:proofErr w:type="spellStart"/>
      <w:r w:rsidRPr="00E86144">
        <w:rPr>
          <w:rFonts w:cs="Arial"/>
        </w:rPr>
        <w:t>Schaffer</w:t>
      </w:r>
      <w:proofErr w:type="spellEnd"/>
      <w:r w:rsidRPr="00E86144">
        <w:rPr>
          <w:rFonts w:cs="Arial"/>
        </w:rPr>
        <w:t>.</w:t>
      </w:r>
    </w:p>
    <w:p w14:paraId="3062BAF3" w14:textId="46D2C506" w:rsidR="00E86144" w:rsidRPr="00AF4CFC" w:rsidRDefault="00E86144" w:rsidP="00E86144">
      <w:pPr>
        <w:ind w:firstLine="720"/>
        <w:rPr>
          <w:rFonts w:cs="Arial"/>
        </w:rPr>
      </w:pPr>
      <w:r w:rsidRPr="00E86144">
        <w:rPr>
          <w:rFonts w:cs="Arial"/>
        </w:rPr>
        <w:lastRenderedPageBreak/>
        <w:t>Além disso, o hipocampo é segmentado ao longo do seu eixo rostro-caudal em regiões dorsal e ventral</w:t>
      </w:r>
      <w:r w:rsidR="007014F4">
        <w:rPr>
          <w:rFonts w:cs="Arial"/>
        </w:rPr>
        <w:t>,</w:t>
      </w:r>
      <w:r w:rsidRPr="00E86144">
        <w:rPr>
          <w:rFonts w:cs="Arial"/>
        </w:rPr>
        <w:t xml:space="preserve"> cada uma com diferentes conexões aferentes e eferentes que refletem suas distintas funções. O </w:t>
      </w:r>
      <w:r w:rsidR="007014F4">
        <w:rPr>
          <w:rFonts w:cs="Arial"/>
        </w:rPr>
        <w:t>hipocampo dorsal</w:t>
      </w:r>
      <w:r w:rsidRPr="00E86144">
        <w:rPr>
          <w:rFonts w:cs="Arial"/>
        </w:rPr>
        <w:t xml:space="preserve"> </w:t>
      </w:r>
      <w:r w:rsidR="007014F4">
        <w:rPr>
          <w:rFonts w:cs="Arial"/>
        </w:rPr>
        <w:t xml:space="preserve">é </w:t>
      </w:r>
      <w:r w:rsidRPr="00E86144">
        <w:rPr>
          <w:rFonts w:cs="Arial"/>
        </w:rPr>
        <w:t xml:space="preserve">mais </w:t>
      </w:r>
      <w:r w:rsidR="007014F4">
        <w:rPr>
          <w:rFonts w:cs="Arial"/>
        </w:rPr>
        <w:t xml:space="preserve">citado quando </w:t>
      </w:r>
      <w:r w:rsidRPr="00E86144">
        <w:rPr>
          <w:rFonts w:cs="Arial"/>
        </w:rPr>
        <w:t xml:space="preserve">associado ao processamento cognitivo, enquanto </w:t>
      </w:r>
      <w:r w:rsidR="007014F4">
        <w:rPr>
          <w:rFonts w:cs="Arial"/>
        </w:rPr>
        <w:t xml:space="preserve">a porção ventral é dita como tendo </w:t>
      </w:r>
      <w:r w:rsidRPr="00E86144">
        <w:rPr>
          <w:rFonts w:cs="Arial"/>
        </w:rPr>
        <w:t>envolvi</w:t>
      </w:r>
      <w:r w:rsidR="007014F4">
        <w:rPr>
          <w:rFonts w:cs="Arial"/>
        </w:rPr>
        <w:t xml:space="preserve">mento </w:t>
      </w:r>
      <w:r w:rsidRPr="00E86144">
        <w:rPr>
          <w:rFonts w:cs="Arial"/>
        </w:rPr>
        <w:t xml:space="preserve">na resposta ao estresse e no processamento emocional </w:t>
      </w:r>
      <w:r w:rsidR="007F237D">
        <w:rPr>
          <w:rFonts w:cs="Arial"/>
        </w:rPr>
        <w:fldChar w:fldCharType="begin"/>
      </w:r>
      <w:r w:rsidR="007F237D">
        <w:rPr>
          <w:rFonts w:cs="Arial"/>
        </w:rPr>
        <w:instrText xml:space="preserve"> ADDIN ZOTERO_ITEM CSL_CITATION {"citationID":"1MhKhFtF","properties":{"formattedCitation":"(Fanselow &amp; Dong, 2010; Knierim, 2015)","plainCitation":"(Fanselow &amp; Dong, 2010; Knierim, 2015)","noteIndex":0},"citationItems":[{"id":3672,"uris":["http://zotero.org/users/7052761/items/NT55D2WB"],"itemData":{"id":3672,"type":"article-journal","abstract":"One literature treats the hippocampus as a purely cognitive structure involved in memory; another treats it as a regulator of emotion whose dysfunction leads to psychopathology. We review behavioral, anatomical, and gene expression studies that together support a functional segmentation into three hippocampal compartments: dorsal, intermediate, and ventral. The dorsal hippocampus, which corresponds to the posterior hippocampus in primates, performs primarily cognitive functions. The ventral (anterior in primates) relates to stress, emotion, and affect. Strikingly, gene expression in the dorsal hippocampus correlates with cortical regions involved in information processing, while genes expressed in the ventral hippocampus correlate with regions involved in emotion and stress (amygdala and hypothalamus).","container-title":"Neuron","DOI":"10.1016/j.neuron.2009.11.031","ISSN":"0896-6273","issue":"1","journalAbbreviation":"Neuron","page":"7-19","source":"ScienceDirect","title":"Are the Dorsal and Ventral Hippocampus Functionally Distinct Structures?","volume":"65","author":[{"family":"Fanselow","given":"Michael S."},{"family":"Dong","given":"Hong-Wei"}],"issued":{"date-parts":[["2010",1,14]]}}},{"id":3681,"uris":["http://zotero.org/users/7052761/items/C5CSBGLY"],"itemData":{"id":3681,"type":"article-journal","abstract":"The hippocampus is one of the most thoroughly investigated structures in the brain. Ever since the 1957 report of the case study H.M., who famously lost the ability to form new, declarative memories after surgical removal of the hippocampus and nearby temporal lobe structures to treat intractable epilepsy, the hippocampus has been at the forefront of research into the neurobiological bases of memory. This research led to the discovery in the hippocampus of long-term potentiation, the pre-eminent model of the cellular basis of memory. Furthermore, the discovery of place cells, head direction cells, and grid cells in the rodent hippocampal formation established a firm foundation for the notion that the hippocampus plays a critical role in memory formation by providing the brain with a spatiotemporal framework within which the various sensory, emotional, and cognitive components of an experience are bound together. This framework allows the experience to be stored in such a way that it can be later retrieved as a conscious recollection of that experience.","container-title":"Current Biology","DOI":"10.1016/j.cub.2015.10.049","ISSN":"0960-9822","issue":"23","journalAbbreviation":"Current Biology","page":"R1116-R1121","source":"ScienceDirect","title":"The hippocampus","volume":"25","author":[{"family":"Knierim","given":"James J."}],"issued":{"date-parts":[["2015",12,7]]}}}],"schema":"https://github.com/citation-style-language/schema/raw/master/csl-citation.json"} </w:instrText>
      </w:r>
      <w:r w:rsidR="007F237D">
        <w:rPr>
          <w:rFonts w:cs="Arial"/>
        </w:rPr>
        <w:fldChar w:fldCharType="separate"/>
      </w:r>
      <w:r w:rsidR="007F237D" w:rsidRPr="007F237D">
        <w:rPr>
          <w:rFonts w:cs="Arial"/>
        </w:rPr>
        <w:t>(Fanselow &amp; Dong, 2010; Knierim, 2015)</w:t>
      </w:r>
      <w:r w:rsidR="007F237D">
        <w:rPr>
          <w:rFonts w:cs="Arial"/>
        </w:rPr>
        <w:fldChar w:fldCharType="end"/>
      </w:r>
      <w:r w:rsidR="007F237D">
        <w:rPr>
          <w:rFonts w:cs="Arial"/>
        </w:rPr>
        <w:t xml:space="preserve">. </w:t>
      </w:r>
      <w:r w:rsidRPr="00E86144">
        <w:rPr>
          <w:rFonts w:cs="Arial"/>
        </w:rPr>
        <w:t>Essa segmentação funcional sugere que diferentes partes do hipocampo podem contribuir de maneira distinta para a formação e recuperação de memórias sociais, dependendo do contexto emocional e cognitivo da experiência vivida.</w:t>
      </w:r>
    </w:p>
    <w:p w14:paraId="244E0DBB" w14:textId="68C3059E" w:rsidR="00DE7DB5" w:rsidRDefault="00DE7DB5" w:rsidP="00DE7DB5">
      <w:pPr>
        <w:ind w:firstLine="720"/>
      </w:pPr>
      <w:r>
        <w:t>A concepção clássica do hipocampo como um "mapa cognitivo" é hoje primariamente atribuída à sua porção dorsal</w:t>
      </w:r>
      <w:r w:rsidR="007014F4">
        <w:t>. Essa região,</w:t>
      </w:r>
      <w:r>
        <w:t xml:space="preserve"> em conjunto com o córtex entorrinal medial, é especializado em representações espaciais de alta resolução </w:t>
      </w:r>
      <w:r w:rsidR="008F58F3">
        <w:fldChar w:fldCharType="begin"/>
      </w:r>
      <w:r w:rsidR="008F58F3">
        <w:instrText xml:space="preserve"> ADDIN ZOTERO_ITEM CSL_CITATION {"citationID":"Y5os7HvB","properties":{"formattedCitation":"(Moser et al., 2008)","plainCitation":"(Moser et al., 2008)","noteIndex":0},"citationItems":[{"id":3684,"uris":["http://zotero.org/users/7052761/items/GK54VT4V"],"itemData":{"id":3684,"type":"article-journal","abstract":"More than three decades of research have demonstrated a role for hippocampal place cells in representation of the spatial environment in the brain. New studies have shown that place cells are part of a broader circuit for dynamic representation of self-location. A key component of this network is the entorhinal grid cells, which, by virtue of their tessellating firing fields, may provide the elements of a path integration-based neural map. Here we review how place cells and grid cells may form the basis for quantitative spatiotemporal representation of places, routes, and associated experiences during behavior and in memory. Because these cell types have some of the most conspicuous behavioral correlates among neurons in nonsensory cortical systems, and because their spatial firing structure reflects computations internally in the system, studies of entorhinal-hippocampal representations may offer considerable insight into general principles of cortical network dynamics.","container-title":"Annual Review of Neuroscience","DOI":"10.1146/annurev.neuro.31.061307.090723","ISSN":"0147-006X","journalAbbreviation":"Annu Rev Neurosci","language":"eng","note":"PMID: 18284371","page":"69-89","source":"PubMed","title":"Place cells, grid cells, and the brain's spatial representation system","volume":"31","author":[{"family":"Moser","given":"Edvard I."},{"family":"Kropff","given":"Emilio"},{"family":"Moser","given":"May-Britt"}],"issued":{"date-parts":[["2008"]]}}}],"schema":"https://github.com/citation-style-language/schema/raw/master/csl-citation.json"} </w:instrText>
      </w:r>
      <w:r w:rsidR="008F58F3">
        <w:fldChar w:fldCharType="separate"/>
      </w:r>
      <w:r w:rsidR="008F58F3" w:rsidRPr="008F58F3">
        <w:rPr>
          <w:rFonts w:cs="Arial"/>
        </w:rPr>
        <w:t>(Moser et al., 2008)</w:t>
      </w:r>
      <w:r w:rsidR="008F58F3">
        <w:fldChar w:fldCharType="end"/>
      </w:r>
      <w:r>
        <w:t>. Ele opera como um sistema de navegação "métrico", computando distâncias, direções e integrando o movimento do indivíduo para localizar-se precisamente no ambiente. Esta é a base neural do "onde" em seu sentido físico mais fundamental.</w:t>
      </w:r>
    </w:p>
    <w:p w14:paraId="684D94B7" w14:textId="21D6C6D3" w:rsidR="00DE7DB5" w:rsidRPr="007014F4" w:rsidRDefault="00DE7DB5" w:rsidP="007014F4">
      <w:pPr>
        <w:ind w:firstLine="720"/>
        <w:rPr>
          <w:highlight w:val="yellow"/>
        </w:rPr>
      </w:pPr>
      <w:r>
        <w:t xml:space="preserve">Em contrapartida, o hipocampo ventral opera de forma distinta. Embora mantenha alguma codificação espacial, ela é de resolução mais baixa e está profundamente integrada ao processamento do significado ou valor do contexto </w:t>
      </w:r>
      <w:r w:rsidR="008F58F3" w:rsidRPr="00E86144">
        <w:rPr>
          <w:rFonts w:cs="Arial"/>
        </w:rPr>
        <w:t xml:space="preserve">emocional </w:t>
      </w:r>
      <w:r w:rsidR="008F58F3">
        <w:rPr>
          <w:rFonts w:cs="Arial"/>
        </w:rPr>
        <w:fldChar w:fldCharType="begin"/>
      </w:r>
      <w:r w:rsidR="007014F4">
        <w:rPr>
          <w:rFonts w:cs="Arial"/>
        </w:rPr>
        <w:instrText xml:space="preserve"> ADDIN ZOTERO_ITEM CSL_CITATION {"citationID":"cjShfjEC","properties":{"formattedCitation":"(Fanselow &amp; Dong, 2010; Knierim, 2015)","plainCitation":"(Fanselow &amp; Dong, 2010; Knierim, 2015)","noteIndex":0},"citationItems":[{"id":3672,"uris":["http://zotero.org/users/7052761/items/NT55D2WB"],"itemData":{"id":3672,"type":"article-journal","abstract":"One literature treats the hippocampus as a purely cognitive structure involved in memory; another treats it as a regulator of emotion whose dysfunction leads to psychopathology. We review behavioral, anatomical, and gene expression studies that together support a functional segmentation into three hippocampal compartments: dorsal, intermediate, and ventral. The dorsal hippocampus, which corresponds to the posterior hippocampus in primates, performs primarily cognitive functions. The ventral (anterior in primates) relates to stress, emotion, and affect. Strikingly, gene expression in the dorsal hippocampus correlates with cortical regions involved in information processing, while genes expressed in the ventral hippocampus correlate with regions involved in emotion and stress (amygdala and hypothalamus).","container-title":"Neuron","DOI":"10.1016/j.neuron.2009.11.031","ISSN":"0896-6273","issue":"1","journalAbbreviation":"Neuron","page":"7-19","source":"ScienceDirect","title":"Are the Dorsal and Ventral Hippocampus Functionally Distinct Structures?","volume":"65","author":[{"family":"Fanselow","given":"Michael S."},{"family":"Dong","given":"Hong-Wei"}],"issued":{"date-parts":[["2010",1,14]]}}},{"id":3681,"uris":["http://zotero.org/users/7052761/items/C5CSBGLY"],"itemData":{"id":3681,"type":"article-journal","abstract":"The hippocampus is one of the most thoroughly investigated structures in the brain. Ever since the 1957 report of the case study H.M., who famously lost the ability to form new, declarative memories after surgical removal of the hippocampus and nearby temporal lobe structures to treat intractable epilepsy, the hippocampus has been at the forefront of research into the neurobiological bases of memory. This research led to the discovery in the hippocampus of long-term potentiation, the pre-eminent model of the cellular basis of memory. Furthermore, the discovery of place cells, head direction cells, and grid cells in the rodent hippocampal formation established a firm foundation for the notion that the hippocampus plays a critical role in memory formation by providing the brain with a spatiotemporal framework within which the various sensory, emotional, and cognitive components of an experience are bound together. This framework allows the experience to be stored in such a way that it can be later retrieved as a conscious recollection of that experience.","container-title":"Current Biology","DOI":"10.1016/j.cub.2015.10.049","ISSN":"0960-9822","issue":"23","journalAbbreviation":"Current Biology","page":"R1116-R1121","source":"ScienceDirect","title":"The hippocampus","volume":"25","author":[{"family":"Knierim","given":"James J."}],"issued":{"date-parts":[["2015",12,7]]}}}],"schema":"https://github.com/citation-style-language/schema/raw/master/csl-citation.json"} </w:instrText>
      </w:r>
      <w:r w:rsidR="008F58F3">
        <w:rPr>
          <w:rFonts w:cs="Arial"/>
        </w:rPr>
        <w:fldChar w:fldCharType="separate"/>
      </w:r>
      <w:r w:rsidR="007014F4" w:rsidRPr="007014F4">
        <w:rPr>
          <w:rFonts w:cs="Arial"/>
        </w:rPr>
        <w:t>(Fanselow &amp; Dong, 2010; Knierim, 2015)</w:t>
      </w:r>
      <w:r w:rsidR="008F58F3">
        <w:rPr>
          <w:rFonts w:cs="Arial"/>
        </w:rPr>
        <w:fldChar w:fldCharType="end"/>
      </w:r>
      <w:r>
        <w:t>. O</w:t>
      </w:r>
      <w:r w:rsidR="007014F4">
        <w:t xml:space="preserve"> hipocampo ventral</w:t>
      </w:r>
      <w:r>
        <w:t xml:space="preserve"> possui conexões extensas com circuitos límbicos, como a amígdala e o córtex pré-frontal medial, áreas cruciais para a avaliação de estímulos emocionais, motivacionais e afetivos. Assim, enquanto o </w:t>
      </w:r>
      <w:r w:rsidR="007014F4">
        <w:t>hipocampo dorsal</w:t>
      </w:r>
      <w:r>
        <w:t xml:space="preserve"> codifica o "mapa" físico, o </w:t>
      </w:r>
      <w:r w:rsidR="007014F4">
        <w:t>ventral</w:t>
      </w:r>
      <w:r>
        <w:t xml:space="preserve"> codifica o "valor" associado a esse mapa, determinando, por exemplo, se um local é seguro, ameaçador ou recompensador</w:t>
      </w:r>
      <w:r w:rsidR="008F58F3">
        <w:t xml:space="preserve"> </w:t>
      </w:r>
      <w:r w:rsidR="008F58F3" w:rsidRPr="008F58F3">
        <w:rPr>
          <w:highlight w:val="yellow"/>
        </w:rPr>
        <w:t>(REF?</w:t>
      </w:r>
      <w:r w:rsidR="008F58F3">
        <w:rPr>
          <w:highlight w:val="yellow"/>
        </w:rPr>
        <w:t xml:space="preserve"> Talvez não </w:t>
      </w:r>
      <w:r w:rsidR="007014F4">
        <w:rPr>
          <w:highlight w:val="yellow"/>
        </w:rPr>
        <w:t>seja a melhor forma de colocar isso</w:t>
      </w:r>
      <w:r w:rsidR="008F58F3" w:rsidRPr="008F58F3">
        <w:rPr>
          <w:highlight w:val="yellow"/>
        </w:rPr>
        <w:t>)</w:t>
      </w:r>
      <w:r w:rsidRPr="008F58F3">
        <w:rPr>
          <w:highlight w:val="yellow"/>
        </w:rPr>
        <w:t>.</w:t>
      </w:r>
    </w:p>
    <w:p w14:paraId="0E1751C1" w14:textId="4F8C6CF4" w:rsidR="00DE7DB5" w:rsidRDefault="00DE7DB5" w:rsidP="00AF4CFC">
      <w:pPr>
        <w:ind w:firstLine="720"/>
      </w:pPr>
      <w:r>
        <w:t>É precisamente essa função do hipocampo ventral que o posiciona como um substrato neural crítico para a memória social. A memória social exige mais do que saber onde um encontro ocorreu; ela exige a codificação de quem foi encontrado e qual o valor dessa interação (</w:t>
      </w:r>
      <w:proofErr w:type="spellStart"/>
      <w:r>
        <w:t>ex</w:t>
      </w:r>
      <w:proofErr w:type="spellEnd"/>
      <w:r>
        <w:t xml:space="preserve">: familiar vs. novo, dominante vs. submisso). Estudos seminais, como os de </w:t>
      </w:r>
      <w:proofErr w:type="spellStart"/>
      <w:r>
        <w:t>Okuyama</w:t>
      </w:r>
      <w:proofErr w:type="spellEnd"/>
      <w:r>
        <w:t xml:space="preserve"> e colegas (2016), demonstraram que neurônios específicos n</w:t>
      </w:r>
      <w:r w:rsidR="007014F4">
        <w:t>a região ventral do hipocampo</w:t>
      </w:r>
      <w:r>
        <w:t xml:space="preserve"> são essenciais para o armazenamento e a recuperação da memória de reconhecimento social. A inativação dessas células impede o </w:t>
      </w:r>
      <w:r>
        <w:lastRenderedPageBreak/>
        <w:t xml:space="preserve">reconhecimento de um </w:t>
      </w:r>
      <w:proofErr w:type="spellStart"/>
      <w:r>
        <w:t>co-específico</w:t>
      </w:r>
      <w:proofErr w:type="spellEnd"/>
      <w:r>
        <w:t xml:space="preserve"> familiar, sem, no entanto, prejudicar a memória espacial para locais.</w:t>
      </w:r>
    </w:p>
    <w:p w14:paraId="0336AF1C" w14:textId="2A93AECB" w:rsidR="00DE7DB5" w:rsidRDefault="00DE7DB5" w:rsidP="00AF4CFC">
      <w:pPr>
        <w:ind w:firstLine="720"/>
      </w:pPr>
      <w:r>
        <w:t xml:space="preserve">Portanto, a visão contemporânea do hipocampo como um sistema geral de processamento contextual </w:t>
      </w:r>
      <w:r w:rsidR="007014F4">
        <w:fldChar w:fldCharType="begin"/>
      </w:r>
      <w:r w:rsidR="007014F4">
        <w:instrText xml:space="preserve"> ADDIN ZOTERO_ITEM CSL_CITATION {"citationID":"py0MyTB5","properties":{"formattedCitation":"(Eichenbaum, 2017; Smith &amp; Mizumori, 2006)","plainCitation":"(Eichenbaum, 2017; Smith &amp; Mizumori, 2006)","noteIndex":0},"citationItems":[{"id":3617,"uris":["http://zotero.org/users/7052761/items/BR3ZGM62"],"itemData":{"id":3617,"type":"article-journal","abstract":"There is considerable recent evidence that, in addition to its representation of space, the hippocampus also represents the temporal organization of memories. Time plays a central role in episodic memory, and studies have identified the hippocampus as playing an essential role in the temporal organization of memories in humans and animals. Temporal organization is supported by a gradually changing temporal context signal in the hippocampus, and this changing context signal involves ‘time cells’ in the hippocampus that code sequential moments in temporally organized experiences. Finally, hippocampal temporal context representations involve mechanisms in intrinsic circuitry and oscillatory patterns throughout hippocampal subfields and depend on inputs from parahippocampal cortical areas as well as a widespread temporal processing system in the neocortex.","collection-title":"Memory in time and space","container-title":"Current Opinion in Behavioral Sciences","DOI":"10.1016/j.cobeha.2017.06.010","ISSN":"23521546","journalAbbreviation":"Current Opinion in Behavioral Sciences","language":"en","page":"65-70","source":"DOI.org (Crossref)","title":"Time (and space) in the hippocampus","volume":"17","author":[{"family":"Eichenbaum","given":"Howard"}],"issued":{"date-parts":[["2017",10]]}}},{"id":3630,"uris":["http://zotero.org/users/7052761/items/RCRDK3QB"],"itemData":{"id":3630,"type":"article-journal","abstract":"Abstract\n            Although most observers agree that the hippocampus has a critical role in learning and memory, there remains considerable debate about the precise functional contribution of the hippocampus to these processes. Two of the most influential accounts hold that the primary function of the hippocampus is to generate cognitive maps and to mediate episodic memory processes. The well</w:instrText>
      </w:r>
      <w:r w:rsidR="007014F4">
        <w:rPr>
          <w:rFonts w:ascii="Cambria Math" w:hAnsi="Cambria Math" w:cs="Cambria Math"/>
        </w:rPr>
        <w:instrText>‐</w:instrText>
      </w:r>
      <w:r w:rsidR="007014F4">
        <w:instrText>documented spatial firing patterns (place fields) of hippocampal neurons in rodents, along with the spatial learning impairments observed with hippocampal damage support the cognitive mapping hypothesis. The amnesia for personally experienced events seen in humans with hippocampal damage and the data of animal models, which show severe memory deficits associated with hippocampal lesions, support the episodic memory account. Although an extensive literature supports each of these hypotheses, a specific contribution of place cells to episodic memory has not been clearly demonstrated. Recent data from our laboratory, together with previous findings, indicate that hippocampal place fields and neuronal responses to task</w:instrText>
      </w:r>
      <w:r w:rsidR="007014F4">
        <w:rPr>
          <w:rFonts w:ascii="Cambria Math" w:hAnsi="Cambria Math" w:cs="Cambria Math"/>
        </w:rPr>
        <w:instrText>‐</w:instrText>
      </w:r>
      <w:r w:rsidR="007014F4">
        <w:instrText>relevant stimuli are highly sensitive to the context, even when the contexts are defined by abstract task demands rather than the spatial geometry of the environment. On the basis of these findings, it is proposed that place fields reflect a more general context processing function of the hippocampus. Hippocampal context representations could serve to differentiate contexts and prime the relevant memories and behaviors. Since episodic memories, by definition, include information about the time and place where the episode occurred, contextual information is a necessary prerequisite for any episodic memory. Thus, place fields contribute importantly to episodic memory as part of the needed context representations. Additionally, recent findings indicate that hippocampal neurons differentiate contexts at progressively finer levels of detail, suggesting a hierarchical coding scheme which, if combined with temporal information, could provide a means of differentiating memory episodes. © 2006 Wiley</w:instrText>
      </w:r>
      <w:r w:rsidR="007014F4">
        <w:rPr>
          <w:rFonts w:ascii="Cambria Math" w:hAnsi="Cambria Math" w:cs="Cambria Math"/>
        </w:rPr>
        <w:instrText>‐</w:instrText>
      </w:r>
      <w:r w:rsidR="007014F4">
        <w:instrText xml:space="preserve">Liss, Inc.","container-title":"Hippocampus","DOI":"10.1002/hipo.20208","ISSN":"1050-9631, 1098-1063","issue":"9","journalAbbreviation":"Hippocampus","language":"en","license":"http://onlinelibrary.wiley.com/termsAndConditions#vor","page":"716-729","source":"DOI.org (Crossref)","title":"Hippocampal place cells, context, and episodic memory","volume":"16","author":[{"family":"Smith","given":"David M."},{"family":"Mizumori","given":"Sheri J.Y."}],"issued":{"date-parts":[["2006",9]]}}}],"schema":"https://github.com/citation-style-language/schema/raw/master/csl-citation.json"} </w:instrText>
      </w:r>
      <w:r w:rsidR="007014F4">
        <w:fldChar w:fldCharType="separate"/>
      </w:r>
      <w:r w:rsidR="007014F4" w:rsidRPr="007014F4">
        <w:rPr>
          <w:rFonts w:cs="Arial"/>
        </w:rPr>
        <w:t>(Eichenbaum, 2017; Smith &amp; Mizumori, 2006)</w:t>
      </w:r>
      <w:r w:rsidR="007014F4">
        <w:fldChar w:fldCharType="end"/>
      </w:r>
      <w:r w:rsidR="007014F4">
        <w:t xml:space="preserve"> </w:t>
      </w:r>
      <w:r>
        <w:t>acomoda essa dissociação funcional. O hipocampo atua como um "bibliotecário" neural que organiza e indexa as memórias episódicas em duas frentes: o hipocampo dorsal fornece o "mapa" espacial (o onde físico), enquanto o hipocampo ventral anexa o "significado" social e afetivo a esse mapa (o quem e o porquê da experiência). Essa integração é o que permite a distinção precisa entre eventos semelhantes e a expressão de comportamentos sociais adaptativos dependentes de contexto.</w:t>
      </w:r>
    </w:p>
    <w:p w14:paraId="100E47A9" w14:textId="0F8EA77C" w:rsidR="006036AA" w:rsidRDefault="006036AA" w:rsidP="000B63E8">
      <w:pPr>
        <w:ind w:firstLine="720"/>
      </w:pPr>
      <w:r>
        <w:t xml:space="preserve">Crucialmente, esse "contexto" não se limita a pistas ambientais estáticas. Investigações recentes demonstram que o hipocampo, especialmente em sua porção ventral, é fundamental para codificar o contexto social </w:t>
      </w:r>
      <w:r w:rsidR="000B63E8">
        <w:fldChar w:fldCharType="begin"/>
      </w:r>
      <w:r w:rsidR="000B63E8">
        <w:instrText xml:space="preserve"> ADDIN ZOTERO_ITEM CSL_CITATION {"citationID":"Te876NFw","properties":{"formattedCitation":"(Wu et al., 2023)","plainCitation":"(Wu et al., 2023)","noteIndex":0},"citationItems":[{"id":3627,"uris":["http://zotero.org/users/7052761/items/9ZAD5SXI"],"itemData":{"id":3627,"type":"article-journal","abstract":"The hippocampus is critical for contextual memory and has recently been implicated in various kinds of social memory. Traditionally, studies of hippocampal context coding have manipulated elements of the background environment, such as the shape and color of the apparatus. These manipulations produce large shifts in the spatial firing patterns, a phenomenon known as remapping. These findings suggest that the hippocampus encodes and differentiates contexts by generating unique spatial firing patterns for each environment a subject encounters. However, we do not know whether the hippocampus encodes social contexts defined by the presence of particular conspecifics. We examined this by exposing rats to a series of manipulations of the social context, including the presence of familiar male, unfamiliar male and female conspecifics, in order to determine whether remapping is a plausible mechanism for encoding socially-defined contexts. Because the dorsal and ventral regions of the hippocampus are thought to play different roles in spatial and social cognition, we recorded neurons in both regions. Surprisingly, we found little evidence of remapping in response to manipulation of the social context in either the dorsal or ventral hippocampus, although we saw typical remapping in response to changing the background color. This result suggests that remapping is not the primary mechanism for encoding different social contexts. However, we found that a subset of hippocampal neurons fired selectively near the cages that contained the conspecifics, and these responses were most prevalent in the ventral hippocampus. We also found a striking increase in the spatial information content of ventral hippocampal firing patterns. These results indicate that the ventral hippocampus is sensitive to changes in the social context and neurons that respond selectively near the conspecific cages could play an important, if not fully understood role in encoding the conjunction of conspecifics, their location and the environment.","container-title":"Hippocampus","DOI":"10.1002/hipo.23507","ISSN":"1098-1063","issue":"7","journalAbbreviation":"Hippocampus","language":"en","license":"© 2023 Wiley Periodicals LLC.","note":"_eprint: https://onlinelibrary.wiley.com/doi/pdf/10.1002/hipo.23507","page":"830-843","source":"Wiley Online Library","title":"Effects of social context manipulation on dorsal and ventral hippocampal neuronal responses","volume":"33","author":[{"family":"Wu","given":"Wen-Yi"},{"family":"Yiu","given":"Eunice"},{"family":"Ophir","given":"Alexander G."},{"family":"Smith","given":"David M."}],"issued":{"date-parts":[["2023"]]}}}],"schema":"https://github.com/citation-style-language/schema/raw/master/csl-citation.json"} </w:instrText>
      </w:r>
      <w:r w:rsidR="000B63E8">
        <w:fldChar w:fldCharType="separate"/>
      </w:r>
      <w:r w:rsidR="007F237D" w:rsidRPr="007F237D">
        <w:rPr>
          <w:rFonts w:cs="Arial"/>
        </w:rPr>
        <w:t>(Wu et al., 2023)</w:t>
      </w:r>
      <w:r w:rsidR="000B63E8">
        <w:fldChar w:fldCharType="end"/>
      </w:r>
      <w:r>
        <w:t xml:space="preserve">. Esta estrutura não apenas mapeia o espaço físico, mas codifica a conjunção complexa de informações: o </w:t>
      </w:r>
      <w:r w:rsidR="008C4F82">
        <w:t>conspecífico</w:t>
      </w:r>
      <w:r>
        <w:t xml:space="preserve"> (quem), sua localização (onde) e o ambiente em que a interação ocorre </w:t>
      </w:r>
      <w:r w:rsidR="000B63E8">
        <w:fldChar w:fldCharType="begin"/>
      </w:r>
      <w:r w:rsidR="00424DA9">
        <w:instrText xml:space="preserve"> ADDIN ZOTERO_ITEM CSL_CITATION {"citationID":"u0XbWIUJ","properties":{"formattedCitation":"(Wu et al., 2023)","plainCitation":"(Wu et al., 2023)","noteIndex":0},"citationItems":[{"id":3627,"uris":["http://zotero.org/users/7052761/items/9ZAD5SXI"],"itemData":{"id":3627,"type":"article-journal","abstract":"The hippocampus is critical for contextual memory and has recently been implicated in various kinds of social memory. Traditionally, studies of hippocampal context coding have manipulated elements of the background environment, such as the shape and color of the apparatus. These manipulations produce large shifts in the spatial firing patterns, a phenomenon known as remapping. These findings suggest that the hippocampus encodes and differentiates contexts by generating unique spatial firing patterns for each environment a subject encounters. However, we do not know whether the hippocampus encodes social contexts defined by the presence of particular conspecifics. We examined this by exposing rats to a series of manipulations of the social context, including the presence of familiar male, unfamiliar male and female conspecifics, in order to determine whether remapping is a plausible mechanism for encoding socially-defined contexts. Because the dorsal and ventral regions of the hippocampus are thought to play different roles in spatial and social cognition, we recorded neurons in both regions. Surprisingly, we found little evidence of remapping in response to manipulation of the social context in either the dorsal or ventral hippocampus, although we saw typical remapping in response to changing the background color. This result suggests that remapping is not the primary mechanism for encoding different social contexts. However, we found that a subset of hippocampal neurons fired selectively near the cages that contained the conspecifics, and these responses were most prevalent in the ventral hippocampus. We also found a striking increase in the spatial information content of ventral hippocampal firing patterns. These results indicate that the ventral hippocampus is sensitive to changes in the social context and neurons that respond selectively near the conspecific cages could play an important, if not fully understood role in encoding the conjunction of conspecifics, their location and the environment.","container-title":"Hippocampus","DOI":"10.1002/hipo.23507","ISSN":"1098-1063","issue":"7","journalAbbreviation":"Hippocampus","language":"en","license":"© 2023 Wiley Periodicals LLC.","note":"_eprint: https://onlinelibrary.wiley.com/doi/pdf/10.1002/hipo.23507","page":"830-843","source":"Wiley Online Library","title":"Effects of social context manipulation on dorsal and ventral hippocampal neuronal responses","volume":"33","author":[{"family":"Wu","given":"Wen-Yi"},{"family":"Yiu","given":"Eunice"},{"family":"Ophir","given":"Alexander G."},{"family":"Smith","given":"David M."}],"issued":{"date-parts":[["2023"]]}}}],"schema":"https://github.com/citation-style-language/schema/raw/master/csl-citation.json"} </w:instrText>
      </w:r>
      <w:r w:rsidR="000B63E8">
        <w:fldChar w:fldCharType="separate"/>
      </w:r>
      <w:r w:rsidR="007F237D" w:rsidRPr="007F237D">
        <w:rPr>
          <w:rFonts w:cs="Arial"/>
        </w:rPr>
        <w:t>(Wu et al., 2023)</w:t>
      </w:r>
      <w:r w:rsidR="000B63E8">
        <w:fldChar w:fldCharType="end"/>
      </w:r>
      <w:r w:rsidR="000B63E8">
        <w:t xml:space="preserve">. </w:t>
      </w:r>
      <w:r>
        <w:t>A memória social, portanto, não é uma entidade única, mas sim uma memória dependente de contexto.</w:t>
      </w:r>
    </w:p>
    <w:p w14:paraId="4DB6A940" w14:textId="055B10B3" w:rsidR="006036AA" w:rsidRDefault="006036AA" w:rsidP="006036AA">
      <w:pPr>
        <w:ind w:firstLine="720"/>
      </w:pPr>
      <w:r>
        <w:t>Fica evidente, portanto, que a memória social é um processo dinâmico, dependente da integridade do hipocampo para indexar quem é familiar em qual contexto</w:t>
      </w:r>
      <w:r w:rsidR="00424DA9">
        <w:t xml:space="preserve">. </w:t>
      </w:r>
      <w:r>
        <w:t>A avaliação desse fenômeno, que reside na intersecção da cognição espacial e da interação social, exige métodos de análise comportamental que possuam a precisão necessária para capturar essas nuances.</w:t>
      </w:r>
    </w:p>
    <w:p w14:paraId="6A6EC4E8" w14:textId="77777777" w:rsidR="000B63E8" w:rsidRPr="002F6043" w:rsidRDefault="000B63E8" w:rsidP="006036AA"/>
    <w:p w14:paraId="61F02C58" w14:textId="407B8D31" w:rsidR="002F6043" w:rsidRDefault="00E050AE" w:rsidP="00351C49">
      <w:pPr>
        <w:pStyle w:val="Ttulo2"/>
      </w:pPr>
      <w:r>
        <w:t>Ferramentas de IA NA</w:t>
      </w:r>
      <w:r w:rsidR="002F6043">
        <w:t xml:space="preserve"> Automatização da análise </w:t>
      </w:r>
      <w:r>
        <w:t>COMPORTAMENTAL</w:t>
      </w:r>
    </w:p>
    <w:p w14:paraId="3A2CF211" w14:textId="694F3EEE" w:rsidR="00FA186D" w:rsidRDefault="00FA186D" w:rsidP="00FA186D"/>
    <w:p w14:paraId="1BC8D38B" w14:textId="60BDAB23" w:rsidR="00FA186D" w:rsidRDefault="00FA186D" w:rsidP="00E050AE">
      <w:pPr>
        <w:ind w:firstLine="720"/>
      </w:pPr>
      <w:r>
        <w:t xml:space="preserve">Tendo estabelecido que a memória social é um fenômeno complexo, dependente da integração hipocampal do contexto social e espacial, emerge um desafio metodológico fundamental: como medir objetivamente esse comportamento? A quantificação de interações sociais, como a investigação, é historicamente baseada na anotação manual </w:t>
      </w:r>
      <w:r>
        <w:fldChar w:fldCharType="begin"/>
      </w:r>
      <w:r>
        <w:instrText xml:space="preserve"> ADDIN ZOTERO_ITEM CSL_CITATION {"citationID":"Po0HxtEK","properties":{"formattedCitation":"(Egnor &amp; Branson, 2016)","plainCitation":"(Egnor &amp; Branson, 2016)","noteIndex":0},"citationItems":[{"id":3686,"uris":["http://zotero.org/users/7052761/items/IT2F7DM6"],"itemData":{"id":3686,"type":"article-journal","abstract":"In this review, we discuss the emerging field of computational behavioral analysis—the use of modern methods from computer science and engineering to quantitatively measure animal behavior. We discuss aspects of experiment design important to both obtaining biologically relevant behavioral data and enabling the use of machine vision and learning techniques for automation. These two goals are often in conflict. Restraining or restricting the environment of the animal can simplify automatic behavior quantification, but it can also degrade the quality or alter important aspects of behavior. To enable biologists to design experiments to obtain better behavioral measurements, and computer scientists to pinpoint fruitful directions for algorithm improvement, we review known effects of artificial manipulation of the animal on behavior. We also review machine vision and learning techniques for tracking, feature extraction, automated behavior classification, and automated behavior discovery, the assumptions they make, and the types of data they work best with.","container-title":"Annual Review of Neuroscience","DOI":"10.1146/annurev-neuro-070815-013845","ISSN":"0147-006X, 1545-4126","issue":"Volume 39, 2016","language":"en","note":"publisher: Annual Reviews","page":"217-236","source":"www.annualreviews.org","title":"Computational Analysis of Behavior","volume":"39","author":[{"family":"Egnor","given":"S. E. Roian"},{"family":"Branson","given":"Kristin"}],"issued":{"date-parts":[["2016",7,8]]}}}],"schema":"https://github.com/citation-style-language/schema/raw/master/csl-citation.json"} </w:instrText>
      </w:r>
      <w:r>
        <w:fldChar w:fldCharType="separate"/>
      </w:r>
      <w:r w:rsidRPr="00FA186D">
        <w:rPr>
          <w:rFonts w:cs="Arial"/>
        </w:rPr>
        <w:t>(Egnor &amp; Branson, 2016)</w:t>
      </w:r>
      <w:r>
        <w:fldChar w:fldCharType="end"/>
      </w:r>
      <w:r>
        <w:t xml:space="preserve">. Este método, embora validado, é extremamente laborioso, consome tempo e está sujeito à variabilidade e ao viés </w:t>
      </w:r>
      <w:proofErr w:type="spellStart"/>
      <w:r>
        <w:t>inter-</w:t>
      </w:r>
      <w:r>
        <w:lastRenderedPageBreak/>
        <w:t>observador</w:t>
      </w:r>
      <w:proofErr w:type="spellEnd"/>
      <w:r>
        <w:t>. Mais importante, ele falha em capturar as métricas de alta resolução como a postura exata do animal ou a dinâmica da navegação.</w:t>
      </w:r>
    </w:p>
    <w:p w14:paraId="74123EC7" w14:textId="42EA8B48" w:rsidR="00FA186D" w:rsidRDefault="00FA186D" w:rsidP="00FA186D">
      <w:pPr>
        <w:ind w:firstLine="720"/>
      </w:pPr>
      <w:r>
        <w:t xml:space="preserve">Para adquirir dados comportamentais e destilá-los em métricas úteis que possam descrever o comportamento de maneira eficiente e acurada, o emprego de técnicas automatizadas torna-se, portanto, uma ferramenta indispensável. Dentre os paradigmas de memória social, o reconhecimento social se sobressai como um teste chave para avaliar a memória episódica em roedores </w:t>
      </w:r>
      <w:r>
        <w:fldChar w:fldCharType="begin"/>
      </w:r>
      <w:r>
        <w:instrText xml:space="preserve"> ADDIN ZOTERO_ITEM CSL_CITATION {"citationID":"0kQnUITq","properties":{"formattedCitation":"(Lunardi et al., 2021; Okuyama, 2018; Pereira-Caixeta et al., 2016, 2018; Perna et al., 2015)","plainCitation":"(Lunardi et al., 2021; Okuyama, 2018; Pereira-Caixeta et al., 2016, 2018; Perna et al., 2015)","noteIndex":0},"citationItems":[{"id":102,"uris":["http://zotero.org/users/7052761/items/DGJIS9JP"],"itemData":{"id":102,"type":"article-journal","abstract":"Social memory (SM) is a key element in social cognition and it encompasses the neural representation of conspecifics, an essential information to guide behavior in a social context. Here we evaluate classical and cutting-edge studies on neurobiology of SM, using as a guiding principle behavioral tasks performed in adult rodents. Our review highlights the relevance of the hippocampus, especially the CA2 region, as a neural substrate for SM and suggest that neural ensembles in the olfactory bulb may also encode SM traces. Compared to other hippocampus-dependent memories, much remains to be done to describe the neurobiological foundations of SM. Nonetheless, we argue that special attention should be paid to neurogenesis. Finally, we pinpoint the remaining open question on whether the hippocampal adult neurogenesis acts through pattern separation to permit the discrimination of highly similar stimuli during behavior.","container-title":"Brain Research Bulletin","DOI":"10.1016/j.brainresbull.2021.03.006","ISSN":"0361-9230","journalAbbreviation":"Brain Research Bulletin","page":"56-66","source":"ScienceDirect","title":"On the novel mechanisms for social memory and the emerging role of neurogenesis","volume":"171","author":[{"family":"Lunardi","given":"Paula"},{"family":"Mansk","given":"Lara M. Z."},{"family":"Jaimes","given":"Laura F."},{"family":"Pereira","given":"Grace S."}],"issued":{"date-parts":[["2021",6,1]]}}},{"id":3613,"uris":["http://zotero.org/users/7052761/items/WETQTZYM"],"itemData":{"id":3613,"type":"article-journal","abstract":"Social memory is one of the crucial components of episodic memories. Gregarious animals living in societies utilize social memory to exhibit the appropriate social behaviors such as aggression, avoidance, cooperative behavior, and even mating behavior. However, the neural mechanisms underlying social memory in the hippocampus remains mysterious. Here, I review some evidence from work done in rodents and primates on the brain region(s) and circuits encoding and/or retrieving social memory, as well as a storage for social memory (i.e. social memory engram neurons). Based on our recent findings that neural ensemble in ventral CA1 sub-region of the hippocampus possesses social memory engram, I would discuss the neural network for social information processing in order to encode social memory; and its evolutionary conservation between rodents and human.","collection-title":"Achievements of Japan neuroscience award winners","container-title":"Neuroscience Research","DOI":"10.1016/j.neures.2017.05.007","ISSN":"01680102","journalAbbreviation":"Neuroscience Research","language":"en","page":"17-23","source":"DOI.org (Crossref)","title":"Social memory engram in the hippocampus","volume":"129","author":[{"family":"Okuyama","given":"Teruhiro"}],"issued":{"date-parts":[["2018",4]]}}},{"id":179,"uris":["http://zotero.org/users/7052761/items/5PFT6M7J"],"itemData":{"id":179,"type":"article-journal","abstract":"Hippocampus-dependent memories, such as social recognition (SRM), are modulated by neurogenesis. However, the precise role of newborn neurons in social memory processing is still unknown. We showed previously that 1 week of enriched environment (EE) is sufficient to increase neurogenesis in the hippocampus (HIP) and the olfactory bulb (OB) of mice. Here, we tested the hypothesis that 1 week of EE would enhance SRM persistence and strength. In addition, as brain-derived neurotrophic factor (BDNF) may mediate some of the neurogenesis effects on memory, we also tested if 1 week of EE would increase BDNF expression in the HIP and OB. We also predicted that neurogenesis inhibition would block the gain of function caused by EE on both SRM and BDNF expression. We found that EE increased BDNF expression in the HIP and OB of mice; at the same time, it allowed SRM to last longer. In addition, mice on EE had their SRM unaffected by memory consolidation interferences. As we predicted, treatment with the anti-mitotic drug AraC blocked EE effects on SRM. Surprisingly, neurogenesis inhibition did not affect the BDNF expression, increased by EE. Together, our results suggest that newborn neurons improve SRM persistence through a BDNF-independent mechanism. Interestingly, this study on social memory uncovered an unexpected dissociation between the effect of adult neurogenesis and BDNF expression on memory persistence, reassuring the idea that not all neurogenesis effects on memory are BDNF-dependent.","container-title":"Molecular Neurobiology","DOI":"10.1007/s12035-016-9922-2","ISSN":"1559-1182","issue":"5","journalAbbreviation":"Mol Neurobiol","language":"en","page":"3309-3316","source":"Springer Link","title":"Neurogenesis Inhibition Prevents Enriched Environment to Prolong and Strengthen Social Recognition Memory, But Not to Increase BDNF Expression","volume":"54","author":[{"family":"Pereira-Caixeta","given":"Ana Raquel"},{"family":"Guarnieri","given":"Leonardo O."},{"family":"Pena","given":"Roberta R."},{"family":"Dias","given":"Thomáz L."},{"family":"Pereira","given":"Grace Schenatto"}],"issued":{"date-parts":[["2016",5,10]]}}},{"id":62,"uris":["http://zotero.org/users/7052761/items/YHMCKWHZ"],"itemData":{"id":62,"type":"article-journal","abstract":"Although the functional role for newborn neurons in neural circuits is still matter of investigation, there is no doubt that neurogenesis modulates learning and memory in rodents. In general, boosting neurogenesis before learning, using genetic-target tools or drugs, improves hippocampus-dependent memories. However, inhibiting neurogenesis may yield contradictory results depending on the type of memory evaluated. Here we tested the hypothesis that inhibiting constitutive neurogenesis would compromise social recognition memory (SRM). Male Swiss mice were submitted to three distinct procedures to inhibit neurogenesis: (1) intra-cerebral infusion of Cystosine-β-D-Arabinofuranoside (AraC); (2) intra-peritoneal injection of temozolomide (TMZ) and (3) cranial gamma irradiation. All three methods decreased cell proliferation and neurogenesis in the dentate gyrus of the dorsal (dDG) and ventral hippocampus (vDG), and the olfactory bulb (OB). However, the percentage inhibition diverged between methods and brain regions. Ara-C, TMZ and gamma irradiation impaired SRM, though only gamma irradiation did not cause side effects on weight gain, locomotor activity and anxiety. Finally, we examined the contribution of cell proliferation in vDG, dDG and OB to SRM. The percent of inhibition in the dDG correlates with SRM, independently of the method utilized. This correlation was observed for granular cell layer of OB and vDG, only when the inhibition was induced by gamma irradiation. Animal’s performance was restrained by the inhibition of dDG cell proliferation, suggesting that cell proliferation in the dDG has a greater contribution to SRM. Altogether, our results demonstrate that SRM, similarly to other hippocampus-dependent memories, has its formation impaired by reducing constitutive neurogenesis.","container-title":"Neurobiology of Learning and Memory","DOI":"10.1016/j.nlm.2018.06.014","ISSN":"1074-7427","journalAbbreviation":"Neurobiology of Learning and Memory","language":"en","page":"92-103","source":"ScienceDirect","title":"Inhibiting constitutive neurogenesis compromises long-term social recognition memory","volume":"155","author":[{"family":"Pereira-Caixeta","given":"Ana Raquel"},{"family":"Guarnieri","given":"Leonardo O."},{"family":"Medeiros","given":"Daniel C."},{"family":"Mendes","given":"Eduardo M.A.M."},{"family":"Ladeira","given":"Luiz C.D."},{"family":"Pereira","given":"Márcio T."},{"family":"Moraes","given":"Márcio F.D."},{"family":"Pereira","given":"Grace S."}],"issued":{"date-parts":[["2018",11]]}}},{"id":78,"uris":["http://zotero.org/users/7052761/items/XNVX6STX"],"itemData":{"id":78,"type":"article-journal","abstract":"The present study was designed to further investigate the nature of stimuli and the timing of their presentation, which can induce retroactive interference with social recognition memory in mice. In accordance with our previous observations, confrontation with an unfamiliar conspecific juvenile 3h and 6h, but not 22h, after the initial learning session resulted in retroactive interference. The same effect was observed with the exposure to both enantiomers of the monomolecular odour carvone, and with a novel object. Exposure to a loud tone (12KHz, 90dB) caused retroactive interference at 6h, but not 3h and 22h, after sampling. Our data show that retroactive interference of social recognition memory can be induced by exposing the experimental subjects to the defined stimuli presented &lt;22h after learning in their home cage. The distinct interference triggered by the tone presentation at 6h after sampling may be linked to the intrinsic aversiveness of the loud tone and suggests that at this time point memory consolidation is particularly sensitive to stress.","container-title":"Physiology &amp;amp; Behavior","DOI":"10.1016/j.physbeh.2015.02.029","ISSN":"0031-9384","journalAbbreviation":"Physiology &amp;amp; Behavior","language":"en","page":"10-14","source":"ScienceDirect","title":"Timing of presentation and nature of stimuli determine retroactive interference with social recognition memory in mice","volume":"143","author":[{"family":"Perna","given":"Judith Camats"},{"family":"Wotjak","given":"Carsten T."},{"family":"Stork","given":"Oliver"},{"family":"Engelmann","given":"Mario"}],"issued":{"date-parts":[["2015",5]]}}}],"schema":"https://github.com/citation-style-language/schema/raw/master/csl-citation.json"} </w:instrText>
      </w:r>
      <w:r>
        <w:fldChar w:fldCharType="separate"/>
      </w:r>
      <w:r w:rsidRPr="00FA186D">
        <w:rPr>
          <w:rFonts w:cs="Arial"/>
        </w:rPr>
        <w:t>(Lunardi et al., 2021; Okuyama, 2018; Pereira-Caixeta et al., 2016, 2018; Perna et al., 2015)</w:t>
      </w:r>
      <w:r>
        <w:fldChar w:fldCharType="end"/>
      </w:r>
      <w:r>
        <w:t>. Embora seja uma tarefa conceitualmente simples, sua análise apresenta desafios, especialmente na extração da métrica principal: a investigação social.</w:t>
      </w:r>
    </w:p>
    <w:p w14:paraId="30912D36" w14:textId="7CF779B6" w:rsidR="00FA186D" w:rsidRDefault="00FA186D" w:rsidP="00FA186D">
      <w:pPr>
        <w:ind w:firstLine="720"/>
      </w:pPr>
      <w:r>
        <w:t xml:space="preserve">O avanço recente nas técnicas de estimativa de pose por meio de redes neurais artificiais tornou possível a análise detalhada e objetiva do comportamento animal. Ferramentas como o DeepLabCut (DLC) oferecem uma base sólida para que métricas comportamentais sejam extraídas de maneira eficiente e, crucialmente, indistinguível da análise realizada por um experimentador humano treinado </w:t>
      </w:r>
      <w:r>
        <w:fldChar w:fldCharType="begin"/>
      </w:r>
      <w:r w:rsidR="0069643E">
        <w:instrText xml:space="preserve"> ADDIN ZOTERO_ITEM CSL_CITATION {"citationID":"roY8jWER","properties":{"formattedCitation":"(Mathis et al., 2018; Nath et al., 2019)","plainCitation":"(Mathis et al., 2018; Nath et al., 2019)","noteIndex":0},"citationItems":[{"id":3692,"uris":["http://zotero.org/users/7052761/items/CTYTY6NA"],"itemData":{"id":3692,"type":"article-journal","abstract":"Quantifying behavior is crucial for many applications in neuroscience. Videography provides easy methods for the observation and recording of animal behavior in diverse settings, yet extracting particular aspects of a behavior for further analysis can be highly time consuming. In motor control studies, humans or other animals are often marked with reflective markers to assist with computer-based tracking, but markers are intrusive, and the number and location of the markers must be determined a priori. Here we present an efficient method for markerless pose estimation based on transfer learning with deep neural networks that achieves excellent results with minimal training data. We demonstrate the versatility of this framework by tracking various body parts in multiple species across a broad collection of behaviors. Remarkably, even when only a small number of frames are labeled (~200), the algorithm achieves excellent tracking performance on test frames that is comparable to human accuracy.","container-title":"Nature Neuroscience","DOI":"10.1038/s41593-018-0209-y","ISSN":"1546-1726","issue":"9","journalAbbreviation":"Nat Neurosci","language":"en","license":"2018 The Author(s)","note":"publisher: Nature Publishing Group","page":"1281-1289","source":"www.nature.com","title":"DeepLabCut: markerless pose estimation of user-defined body parts with deep learning","title-short":"DeepLabCut","volume":"21","author":[{"family":"Mathis","given":"Alexander"},{"family":"Mamidanna","given":"Pranav"},{"family":"Cury","given":"Kevin M."},{"family":"Abe","given":"Taiga"},{"family":"Murthy","given":"Venkatesh N."},{"family":"Mathis","given":"Mackenzie Weygandt"},{"family":"Bethge","given":"Matthias"}],"issued":{"date-parts":[["2018",9]]}}},{"id":3690,"uris":["http://zotero.org/users/7052761/items/FUT53JID"],"itemData":{"id":3690,"type":"article-journal","abstract":"Noninvasive behavioral tracking of animals during experiments is critical to many scientific pursuits. Extracting the poses of animals without using markers is often essential to measuring behavioral effects in biomechanics, genetics, ethology, and neuroscience. However, extracting detailed poses without markers in dynamically changing backgrounds has been challenging. We recently introduced an open-source toolbox called DeepLabCut that builds on a state-of-the-art human pose-estimation algorithm to allow a user to train a deep neural network with limited training data to precisely track user-defined features that match human labeling accuracy. Here, we provide an updated toolbox, developed as a Python package, that includes new features such as graphical user interfaces (GUIs), performance improvements, and active-learning-based network refinement. We provide a step-by-step procedure for using DeepLabCut that guides the user in creating a tailored, reusable analysis pipeline with a graphical processing unit (GPU) in 1–12 h (depending on frame size). Additionally, we provide Docker environments and Jupyter Notebooks that can be run on cloud resources such as Google Colaboratory.","container-title":"Nature Protocols","DOI":"10.1038/s41596-019-0176-0","ISSN":"1750-2799","issue":"7","journalAbbreviation":"Nat Protoc","language":"en","license":"2019 The Author(s), under exclusive licence to Springer Nature Limited","note":"publisher: Nature Publishing Group","page":"2152-2176","source":"www.nature.com","title":"Using DeepLabCut for 3D markerless pose estimation across species and behaviors","volume":"14","author":[{"family":"Nath","given":"Tanmay"},{"family":"Mathis","given":"Alexander"},{"family":"Chen","given":"An Chi"},{"family":"Patel","given":"Amir"},{"family":"Bethge","given":"Matthias"},{"family":"Mathis","given":"Mackenzie Weygandt"}],"issued":{"date-parts":[["2019",7]]}}}],"schema":"https://github.com/citation-style-language/schema/raw/master/csl-citation.json"} </w:instrText>
      </w:r>
      <w:r>
        <w:fldChar w:fldCharType="separate"/>
      </w:r>
      <w:r w:rsidR="0069643E" w:rsidRPr="0069643E">
        <w:rPr>
          <w:rFonts w:cs="Arial"/>
        </w:rPr>
        <w:t>(Mathis et al., 2018; Nath et al., 2019)</w:t>
      </w:r>
      <w:r>
        <w:fldChar w:fldCharType="end"/>
      </w:r>
      <w:r>
        <w:t>. Essa abordagem permite a extração de pontos-chave (como focinho, orelhas e centro do corpo) quadro a quadro, possibilitando a quantificação de dinâmicas complexas que a análise manual não permite.</w:t>
      </w:r>
    </w:p>
    <w:p w14:paraId="5EEB1AFE" w14:textId="77777777" w:rsidR="002F6043" w:rsidRPr="00462D8B" w:rsidRDefault="002F6043" w:rsidP="002F6043"/>
    <w:p w14:paraId="3B8122C9" w14:textId="50A3258E" w:rsidR="00465C19" w:rsidRDefault="00465C19" w:rsidP="008C05D2">
      <w:pPr>
        <w:pStyle w:val="Ttulo1"/>
      </w:pPr>
      <w:r>
        <w:t>JUSTIFICATIVA</w:t>
      </w:r>
    </w:p>
    <w:p w14:paraId="06A3B430" w14:textId="45CFC5CC" w:rsidR="00C914E6" w:rsidRDefault="00C914E6" w:rsidP="00260BB1"/>
    <w:p w14:paraId="58AE6327" w14:textId="7DAF5D5B" w:rsidR="0069643E" w:rsidRDefault="0069643E" w:rsidP="0069643E">
      <w:pPr>
        <w:ind w:firstLine="720"/>
      </w:pPr>
      <w:r>
        <w:t xml:space="preserve">A memória episódica, por definição, é </w:t>
      </w:r>
      <w:proofErr w:type="spellStart"/>
      <w:r>
        <w:t>multi-componente</w:t>
      </w:r>
      <w:proofErr w:type="spellEnd"/>
      <w:r>
        <w:t xml:space="preserve"> </w:t>
      </w:r>
      <w:r>
        <w:fldChar w:fldCharType="begin"/>
      </w:r>
      <w:r>
        <w:instrText xml:space="preserve"> ADDIN ZOTERO_ITEM CSL_CITATION {"citationID":"ERSpbmsr","properties":{"formattedCitation":"(Tulving, 1992, 2002)","plainCitation":"(Tulving, 1992, 2002)","noteIndex":0},"citationItems":[{"id":3639,"uris":["http://zotero.org/users/7052761/items/BGLRWWWQ"],"itemData":{"id":3639,"type":"book","collection-number":"2","collection-title":"Oxford psychology series","edition":"Reprinted","event-place":"Oxford","ISBN":"978-0-19-852102-0","language":"eng","number-of-pages":"351","publisher":"Clarendon Press","publisher-place":"Oxford","source":"K10plus ISBN","title":"Elements of episodic memory","author":[{"family":"Tulving","given":"Endel"}],"issued":{"date-parts":[["1992"]]}}},{"id":3609,"uris":["http://zotero.org/users/7052761/items/W8DZMFN2"],"itemData":{"id":3609,"type":"article-journal","abstract":"[Figure: see text]\n            ▪ Abstract  Episodic memory is a neurocognitive (brain/mind) system, uniquely different from other memory systems, that enables human beings to remember past experiences. The notion of episodic memory was first proposed some 30 years ago. At that time it was defined in terms of materials and tasks. It was subsequently refined and elaborated in terms of ideas such as self, subjective time, and autonoetic consciousness. This chapter provides a brief history of the concept of episodic memory, describes how it has changed (indeed greatly changed) since its inception, considers criticisms of it, and then discusses supporting evidence provided by (a) neuropsychological studies of patterns of memory impairment caused by brain damage, and (b) functional neuroimaging studies of patterns of brain activity of normal subjects engaged in various memory tasks. I also suggest that episodic memory is a true, even if as yet generally unappreciated, marvel of nature.","container-title":"Annual Review of Psychology","DOI":"10.1146/annurev.psych.53.100901.135114","ISSN":"0066-4308, 1545-2085","issue":"1","journalAbbreviation":"Annu. Rev. Psychol.","language":"en","page":"1-25","source":"DOI.org (Crossref)","title":"Episodic Memory: From Mind to Brain","title-short":"Episodic Memory","volume":"53","author":[{"family":"Tulving","given":"Endel"}],"issued":{"date-parts":[["2002",2]]}}}],"schema":"https://github.com/citation-style-language/schema/raw/master/csl-citation.json"} </w:instrText>
      </w:r>
      <w:r>
        <w:fldChar w:fldCharType="separate"/>
      </w:r>
      <w:r w:rsidRPr="0069643E">
        <w:rPr>
          <w:rFonts w:cs="Arial"/>
        </w:rPr>
        <w:t>(Tulving, 1992, 2002)</w:t>
      </w:r>
      <w:r>
        <w:fldChar w:fldCharType="end"/>
      </w:r>
      <w:r>
        <w:t>, integrando os elementos centrais que constituem uma experiência: "o quê" (um evento ou objeto), "onde" (o contexto espacial), "quando" (o contexto temporal) e, em espécies sociais, "quem" (o conspecífico). Na neurociência comportamental, a complexidade dessa integração levou ao desenvolvimento de paradigmas que permitem dissociar e avaliar esses componentes de forma controlada. Para este fim, o teste de reconhecimento de objetos é amplamente utilizado para investigar o componente "o quê", enquanto o teste de reconhecimento social se estabeleceu como a ferramenta padrão para avaliar especificamente o componente "quem" (</w:t>
      </w:r>
      <w:proofErr w:type="spellStart"/>
      <w:r>
        <w:t>Engelmann</w:t>
      </w:r>
      <w:proofErr w:type="spellEnd"/>
      <w:r>
        <w:t>, 2009; Perna et al., 2015).</w:t>
      </w:r>
    </w:p>
    <w:p w14:paraId="76320D48" w14:textId="04139107" w:rsidR="0069643E" w:rsidRDefault="0069643E" w:rsidP="0069643E">
      <w:pPr>
        <w:ind w:firstLine="720"/>
      </w:pPr>
      <w:r>
        <w:lastRenderedPageBreak/>
        <w:t>Como o foco desta dissertação recai sobre a interação crítica entre os componentes "quem" e "onde" o teste de reconhecimento social se mostra como uma ferramenta robusta, embora a literatura que investiga como a memória social é modulada pelo contexto espacial ainda é incipiente. Sabe-se que o hipocampo, especificamente a região CA2, é altamente sensível à novidade social. Estudos de eletrofisiologia demonstraram que a mera apresentação de um estímulo social novo induz o remapeamento global dos campos de lugar em CA2, um efeito não observado em CA1 (Alexander et al., 2005; Wu et al., 2023). Isso sugere uma codificação neural especializada para o "contexto social".</w:t>
      </w:r>
    </w:p>
    <w:p w14:paraId="6C6FAB4F" w14:textId="507DC5A1" w:rsidR="0069643E" w:rsidRDefault="0069643E" w:rsidP="0069643E">
      <w:pPr>
        <w:ind w:firstLine="720"/>
      </w:pPr>
      <w:r>
        <w:t>No entanto, esses estudos focaram em como um estímulo social altera a representação neural de um espaço. A questão inversa, e central para a memória episódica, permanece largamente inexplorada: como uma mudança no contexto espacial impacta a evocação da memória social? O animal é capaz de reconhecer um indivíduo familiar se o encontro ocorrer em um local completamente novo? Esta é uma lacuna crítica, pois, como aponta uma revisão recente (Cum et al., 2024), a neurobiologia da memória social, particularmente sua integração multissensorial com pistas contextuais ambientais, ainda é pouco compreendida.</w:t>
      </w:r>
    </w:p>
    <w:p w14:paraId="4EE402DE" w14:textId="4C8974CD" w:rsidR="0069643E" w:rsidRDefault="0069643E" w:rsidP="0069643E">
      <w:pPr>
        <w:ind w:firstLine="720"/>
      </w:pPr>
      <w:r>
        <w:t>Portanto, a presente dissertação se justifica pela necessidade de preencher essa lacuna, investigando experimentalmente como a evocação da memória social ("quem") é dependente da estabilidade do contexto ("onde"). Para dissecar essa interação, é imperativo não apenas um desenho experimental que manipule ambas as variáveis, mas também uma metodologia de análise comportamental capaz de capturar as nuances dessa interação de forma objetiva e precisa, justificando o desenvolvimento de ferramentas de análise automatizadas.</w:t>
      </w:r>
    </w:p>
    <w:p w14:paraId="5052CD9D" w14:textId="77777777" w:rsidR="0069643E" w:rsidRDefault="0069643E" w:rsidP="0069643E"/>
    <w:p w14:paraId="404D01CA" w14:textId="514450B4" w:rsidR="00462D8B" w:rsidRPr="00462D8B" w:rsidRDefault="00465C19" w:rsidP="00C914E6">
      <w:pPr>
        <w:pStyle w:val="Ttulo1"/>
      </w:pPr>
      <w:r>
        <w:t>OBJETIVOS</w:t>
      </w:r>
    </w:p>
    <w:p w14:paraId="316F6A9F" w14:textId="1EBCC594" w:rsidR="005E4CC1" w:rsidRDefault="005E4CC1" w:rsidP="005E4CC1">
      <w:pPr>
        <w:pStyle w:val="Ttulo2"/>
      </w:pPr>
      <w:r>
        <w:t>OBJETIVO GERAL</w:t>
      </w:r>
    </w:p>
    <w:p w14:paraId="1A412463" w14:textId="3FCCDE0D" w:rsidR="006057BE" w:rsidRDefault="006057BE" w:rsidP="005E4CC1">
      <w:pPr>
        <w:ind w:firstLine="720"/>
      </w:pPr>
      <w:r>
        <w:t>Investigar a dependência contextual da memória de reconhecimento social, analisando como a alteração do contexto espacial ("onde") impacta a evocação da memória para um conspecífico familiar ("quem") em roedores.</w:t>
      </w:r>
    </w:p>
    <w:p w14:paraId="1173D546" w14:textId="7D6860DA" w:rsidR="006057BE" w:rsidRDefault="006057BE" w:rsidP="005E4CC1"/>
    <w:p w14:paraId="28588EC5" w14:textId="6AD1E751" w:rsidR="005E4CC1" w:rsidRDefault="005E4CC1" w:rsidP="005E4CC1">
      <w:pPr>
        <w:pStyle w:val="Ttulo2"/>
      </w:pPr>
      <w:r>
        <w:lastRenderedPageBreak/>
        <w:t>OBJETIVOS ESPECÍFICOS</w:t>
      </w:r>
    </w:p>
    <w:p w14:paraId="11A3EF3C" w14:textId="77777777" w:rsidR="005E4CC1" w:rsidRPr="005E4CC1" w:rsidRDefault="005E4CC1" w:rsidP="005E4CC1"/>
    <w:p w14:paraId="23C9876B" w14:textId="6B30878B" w:rsidR="006057BE" w:rsidRDefault="006057BE" w:rsidP="005E4CC1">
      <w:pPr>
        <w:pStyle w:val="PargrafodaLista"/>
        <w:numPr>
          <w:ilvl w:val="0"/>
          <w:numId w:val="4"/>
        </w:numPr>
      </w:pPr>
      <w:r>
        <w:t>Implementar e validar um sistema de análise comportamental automatizada, baseado em redes neurais artificiais (DeepLabCut), para quantificar objetivamente e com alta resolução as métricas de investigação social durante o teste de reconhecimento social.</w:t>
      </w:r>
    </w:p>
    <w:p w14:paraId="055CD510" w14:textId="77777777" w:rsidR="006057BE" w:rsidRDefault="006057BE" w:rsidP="005E4CC1"/>
    <w:p w14:paraId="55667B56" w14:textId="4D706070" w:rsidR="006057BE" w:rsidRDefault="006057BE" w:rsidP="005E4CC1">
      <w:pPr>
        <w:pStyle w:val="PargrafodaLista"/>
        <w:numPr>
          <w:ilvl w:val="0"/>
          <w:numId w:val="4"/>
        </w:numPr>
      </w:pPr>
      <w:r>
        <w:t>Estabelecer a linha de base da memória de reconhecimento social, avaliando a capacidade dos animais de discriminar entre um conspecífico familiar e um novo quando o teste ocorre em um contexto espacial estável e familiar.</w:t>
      </w:r>
    </w:p>
    <w:p w14:paraId="579678BE" w14:textId="77777777" w:rsidR="006057BE" w:rsidRDefault="006057BE" w:rsidP="005E4CC1"/>
    <w:p w14:paraId="42A2FD72" w14:textId="0D749B24" w:rsidR="006057BE" w:rsidRDefault="006057BE" w:rsidP="005E4CC1">
      <w:pPr>
        <w:pStyle w:val="PargrafodaLista"/>
        <w:numPr>
          <w:ilvl w:val="0"/>
          <w:numId w:val="4"/>
        </w:numPr>
      </w:pPr>
      <w:r>
        <w:t>Determinar experimentalmente o impacto da mudança do contexto espacial na evocação da memória social, comparando o desempenho no reconhecimento do conspecífico familiar quando o reencontro ocorre em um ambiente novo versus o ambiente familiar original.</w:t>
      </w:r>
    </w:p>
    <w:p w14:paraId="01E1D1E3" w14:textId="77777777" w:rsidR="006057BE" w:rsidRDefault="006057BE" w:rsidP="005E4CC1"/>
    <w:p w14:paraId="22CE9F0C" w14:textId="3F18812A" w:rsidR="007014F4" w:rsidRPr="005E4CC1" w:rsidRDefault="006057BE" w:rsidP="005E4CC1">
      <w:pPr>
        <w:pStyle w:val="PargrafodaLista"/>
        <w:numPr>
          <w:ilvl w:val="0"/>
          <w:numId w:val="4"/>
        </w:numPr>
        <w:rPr>
          <w:highlight w:val="yellow"/>
        </w:rPr>
      </w:pPr>
      <w:r>
        <w:t>Caracterizar as estratégias comportamentais e os padrões de navegação dos animais durante a evocação da memória social nos diferentes contextos (familiar vs. novo), utilizando os dados de alta resolução extraídos pela ferramenta de análise automatizada.</w:t>
      </w:r>
      <w:r w:rsidR="005E4CC1">
        <w:t xml:space="preserve"> </w:t>
      </w:r>
      <w:r w:rsidR="005E4CC1" w:rsidRPr="005E4CC1">
        <w:rPr>
          <w:highlight w:val="yellow"/>
        </w:rPr>
        <w:t>(FALTA ISSO NOS RESULTADOS E DISCUSSÃO)</w:t>
      </w:r>
    </w:p>
    <w:p w14:paraId="60509618" w14:textId="77777777" w:rsidR="005E4CC1" w:rsidRDefault="005E4CC1" w:rsidP="005E4CC1"/>
    <w:p w14:paraId="1DAFACE4" w14:textId="14A54181" w:rsidR="00465C19" w:rsidRDefault="00465C19" w:rsidP="008C05D2">
      <w:pPr>
        <w:pStyle w:val="Ttulo1"/>
      </w:pPr>
      <w:r>
        <w:t>MATERIAIS E MÉTODOS</w:t>
      </w:r>
    </w:p>
    <w:p w14:paraId="7FA5BF35" w14:textId="77777777" w:rsidR="007014F4" w:rsidRPr="007014F4" w:rsidRDefault="007014F4" w:rsidP="007014F4"/>
    <w:p w14:paraId="250DB05C" w14:textId="765DBB70" w:rsidR="007014F4" w:rsidRDefault="00260BB1" w:rsidP="00351C49">
      <w:pPr>
        <w:pStyle w:val="Ttulo2"/>
      </w:pPr>
      <w:r>
        <w:t>ANIMAIS</w:t>
      </w:r>
    </w:p>
    <w:p w14:paraId="78940984" w14:textId="77777777" w:rsidR="007014F4" w:rsidRPr="007014F4" w:rsidRDefault="007014F4" w:rsidP="007014F4"/>
    <w:p w14:paraId="43E03065" w14:textId="0E26E55D" w:rsidR="00C914E6" w:rsidRDefault="00C914E6" w:rsidP="00C914E6">
      <w:pPr>
        <w:ind w:firstLine="720"/>
      </w:pPr>
      <w:r>
        <w:t>Todos os procedimentos experimentais e o manejo dos animais seguiram as diretrizes éticas e foram previamente aprovados pela Comissão de Ética no Uso de Animais (CEUA) da Universidade Federal de Minas Gerais - UFMG sob o protocolo de licença número 94/2024 (Anexo).</w:t>
      </w:r>
    </w:p>
    <w:p w14:paraId="3B34C30D" w14:textId="4A9E3097" w:rsidR="00C914E6" w:rsidRDefault="00C914E6" w:rsidP="00C914E6">
      <w:pPr>
        <w:ind w:firstLine="720"/>
      </w:pPr>
      <w:r>
        <w:t xml:space="preserve">Foram utilizados camundongos machos da linhagem C57BL/6, provenientes do biotério central da UFMG e realocados para às instalações do biotério de experimentação </w:t>
      </w:r>
      <w:r>
        <w:lastRenderedPageBreak/>
        <w:t>exclusivo para camundongos do Departamento de Fisiologia e Biofísica, e antes do início de qualquer manipulação experimental, os animais passaram por um período de aclimatação de, no mínimo, uma semana para minimizar o estresse do transporte e garantir a adaptação ao novo ambiente.</w:t>
      </w:r>
    </w:p>
    <w:p w14:paraId="722BA37C" w14:textId="26CF876B" w:rsidR="00C914E6" w:rsidRDefault="00C914E6" w:rsidP="00C914E6">
      <w:pPr>
        <w:ind w:firstLine="720"/>
      </w:pPr>
      <w:r>
        <w:t>Durante todo o período experimental, os animais foram mantidos em gaiolas padrão de polipropileno (dimensões: 30x20x13 cm), com uma densidade máxima de cinco animais por gaiola. As gaiolas foram alocadas em estantes ventiladas dentro de uma sala com condições ambientais controladas, incluindo temperatura mantida em 22±1</w:t>
      </w:r>
      <w:r>
        <w:rPr>
          <w:rFonts w:ascii="Cambria Math" w:hAnsi="Cambria Math" w:cs="Cambria Math"/>
        </w:rPr>
        <w:t>∘</w:t>
      </w:r>
      <w:r>
        <w:t>C, umidade relativa do ar entre 40-70% e um ciclo claro-escuro de 12/12 horas. Ração e água foram fornecidas ad libitum.</w:t>
      </w:r>
    </w:p>
    <w:p w14:paraId="0F2BBD1E" w14:textId="77777777" w:rsidR="00C914E6" w:rsidRDefault="00C914E6" w:rsidP="00C914E6"/>
    <w:p w14:paraId="35367D15" w14:textId="76E03A72" w:rsidR="00C914E6" w:rsidRDefault="00C914E6" w:rsidP="00C914E6">
      <w:r>
        <w:t>O estudo utilizou dois grupos de animais:</w:t>
      </w:r>
    </w:p>
    <w:p w14:paraId="6FC2DFC2" w14:textId="38497FC0" w:rsidR="00C914E6" w:rsidRDefault="00C914E6" w:rsidP="00260BB1">
      <w:pPr>
        <w:pStyle w:val="PargrafodaLista"/>
        <w:numPr>
          <w:ilvl w:val="0"/>
          <w:numId w:val="3"/>
        </w:numPr>
      </w:pPr>
      <w:r>
        <w:t>Animais Experimentais: Composto por camundongos machos adultos, com idade entre oito e doze semanas no início dos experimentos.</w:t>
      </w:r>
    </w:p>
    <w:p w14:paraId="04549E35" w14:textId="70DCB9BC" w:rsidR="00C914E6" w:rsidRDefault="00C914E6" w:rsidP="00260BB1">
      <w:pPr>
        <w:pStyle w:val="PargrafodaLista"/>
        <w:numPr>
          <w:ilvl w:val="0"/>
          <w:numId w:val="3"/>
        </w:numPr>
      </w:pPr>
      <w:r>
        <w:t>Animais de Estímulo: Composto por camundongos machos juvenis, com idade entre 21 e 30 dias. Estes animais foram utilizados exclusivamente como estímulo social durante a realização das tarefas comportamentais de reconhecimento social.</w:t>
      </w:r>
    </w:p>
    <w:p w14:paraId="704C63B9" w14:textId="77777777" w:rsidR="0069643E" w:rsidRDefault="0069643E" w:rsidP="0069643E">
      <w:pPr>
        <w:ind w:firstLine="720"/>
      </w:pPr>
    </w:p>
    <w:p w14:paraId="3D45FC58" w14:textId="4B9D6584" w:rsidR="00C914E6" w:rsidRDefault="00C914E6" w:rsidP="0069643E">
      <w:pPr>
        <w:ind w:firstLine="720"/>
      </w:pPr>
      <w:r>
        <w:t>Além disso, visando o princípio dos 3Rs (Redução) no uso de animais, os camundongos juvenis utilizados como estímulo não foram sacrificados ao término dessa tarefa. Eles foram mantidos nas mesmas condições de biotério descritas acima até atingirem a idade de 8 semanas, sendo então realocados e reutilizados como animais experimentais em outros protocolos deste mesmo projeto.</w:t>
      </w:r>
    </w:p>
    <w:p w14:paraId="38BB40CA" w14:textId="0C9E792F" w:rsidR="00C914E6" w:rsidRDefault="00C914E6" w:rsidP="00C914E6"/>
    <w:p w14:paraId="178814E4" w14:textId="2CEB1871" w:rsidR="00C914E6" w:rsidRPr="00260BB1" w:rsidRDefault="00260BB1" w:rsidP="00351C49">
      <w:pPr>
        <w:pStyle w:val="Ttulo2"/>
      </w:pPr>
      <w:r>
        <w:t>TAREFA DE RECONHECIMENTO SOCIAL</w:t>
      </w:r>
    </w:p>
    <w:p w14:paraId="04E307F0" w14:textId="77777777" w:rsidR="00572601" w:rsidRPr="00572601" w:rsidRDefault="00572601" w:rsidP="00572601"/>
    <w:p w14:paraId="4FE4A184" w14:textId="2BDCF018" w:rsidR="00572601" w:rsidRDefault="00572601" w:rsidP="00572601">
      <w:pPr>
        <w:ind w:firstLine="720"/>
      </w:pPr>
      <w:r>
        <w:t xml:space="preserve">A memória de reconhecimento social foi avaliada utilizando-se a Tarefa de Reconhecimento Social. O protocolo seguido foi adaptado da primeira versão proposta por Thor e </w:t>
      </w:r>
      <w:proofErr w:type="spellStart"/>
      <w:r>
        <w:t>Holloway</w:t>
      </w:r>
      <w:proofErr w:type="spellEnd"/>
      <w:r>
        <w:t xml:space="preserve"> (1982) e já extensamente descrito em trabalhos anteriores do nosso grupo </w:t>
      </w:r>
      <w:r w:rsidR="0006726C">
        <w:t xml:space="preserve">(Almeida-santos et al., 2019; Guarnieri et al., 2020; Gusmão et al., 2012; </w:t>
      </w:r>
      <w:proofErr w:type="spellStart"/>
      <w:r w:rsidR="0006726C">
        <w:t>Lüscher</w:t>
      </w:r>
      <w:proofErr w:type="spellEnd"/>
      <w:r w:rsidR="0006726C">
        <w:t xml:space="preserve"> </w:t>
      </w:r>
      <w:r w:rsidR="0006726C">
        <w:lastRenderedPageBreak/>
        <w:t xml:space="preserve">dias et al., 2016; Monteiro et al., 2014; Pena et al., 2014; Pereira-caixeta et al., 2017, 2018) </w:t>
      </w:r>
      <w:r w:rsidRPr="00572601">
        <w:rPr>
          <w:highlight w:val="yellow"/>
        </w:rPr>
        <w:t>------adicionar essas referências no ZOTERO-------.</w:t>
      </w:r>
    </w:p>
    <w:p w14:paraId="713A0FB4" w14:textId="6285AA91" w:rsidR="00572601" w:rsidRDefault="00572601" w:rsidP="00572601">
      <w:pPr>
        <w:ind w:firstLine="720"/>
      </w:pPr>
      <w:r>
        <w:t>O teste é composto por múltiplas fases: habituação, treino e teste. Em condições naturais, espera-se que o tempo de interação social do animal residente (adulto) com o intruso (juvenil) diminua no segundo encontro (teste) quando comparado ao primeiro (treino), indicando a formação e expressão da memória.</w:t>
      </w:r>
    </w:p>
    <w:p w14:paraId="57A4AA73" w14:textId="1F1806CE" w:rsidR="00572601" w:rsidRDefault="00572601" w:rsidP="00572601">
      <w:pPr>
        <w:ind w:firstLine="720"/>
      </w:pPr>
      <w:r>
        <w:t>Cada animal passou pela tarefa individualmente em um aparato que consistia de: (1) uma caixa de acrílico (30x30x30cm); e (2) um cilindro de metal (porta canetas com orifícios espalhados nas laterais) posicionado no centro. Os orifícios são igualmente distribuídos em sua parede para permitir a interação oro-nasal, mas impedir o contato físico direto. Todo o aparato foi devidamente limpo com álcool 70% entre os testes dos diferentes animais para eliminar pistas olfativas.</w:t>
      </w:r>
    </w:p>
    <w:p w14:paraId="35C957AC" w14:textId="24670925" w:rsidR="00260BB1" w:rsidRDefault="00260BB1" w:rsidP="00260BB1">
      <w:pPr>
        <w:ind w:firstLine="720"/>
      </w:pPr>
      <w:r>
        <w:t>Para investigar se a persistência da memória social era dependente do ambiente de aquisição, foram empregados dois contextos distintos, denominados Contexto A e Contexto B. Ambos possuíam as mesmas dimensões (30x30x30cm), porém diferiam significativamente em suas características visuais, somatossensoriais (textura do piso) e olfativas (agente de limpeza).</w:t>
      </w:r>
    </w:p>
    <w:p w14:paraId="7B406732" w14:textId="4E6BF80E" w:rsidR="00260BB1" w:rsidRDefault="00260BB1" w:rsidP="00260BB1">
      <w:pPr>
        <w:ind w:firstLine="720"/>
      </w:pPr>
      <w:r>
        <w:t>O Contexto A consistia em uma caixa com paredes brancas e piso branco liso. A pista olfativa deste ambiente foi definida pela higienização do aparato (caixa e cilindro) com álcool 70% entre os animais.</w:t>
      </w:r>
    </w:p>
    <w:p w14:paraId="6EDFB25E" w14:textId="41EF52ED" w:rsidR="00260BB1" w:rsidRDefault="00260BB1" w:rsidP="00260BB1">
      <w:pPr>
        <w:ind w:firstLine="720"/>
      </w:pPr>
      <w:r>
        <w:t xml:space="preserve">O Contexto B foi estruturado para ser multissensorialmente distinto. Visualmente, apresentava paredes com listras verticais pretas e brancas e um formato interno octogonal (adaptado com triângulos </w:t>
      </w:r>
      <w:r w:rsidR="0006726C">
        <w:t>de papelão pintados e impermeabilizados</w:t>
      </w:r>
      <w:r>
        <w:t>). A pista somatossensorial foi modificada utilizando-se um piso de grade de metal verde. Como pista olfativa, a limpeza do aparato foi realizada com uma solução de ácido acético 1%</w:t>
      </w:r>
    </w:p>
    <w:p w14:paraId="3E409B41" w14:textId="77777777" w:rsidR="00572601" w:rsidRDefault="00572601" w:rsidP="0006726C"/>
    <w:p w14:paraId="281A8A9C" w14:textId="58FDF528" w:rsidR="00572601" w:rsidRDefault="00572601" w:rsidP="00572601">
      <w:r>
        <w:t>O protocolo experimental foi dividido da seguinte forma:</w:t>
      </w:r>
    </w:p>
    <w:p w14:paraId="1D444BCE" w14:textId="64BA544B" w:rsidR="00572601" w:rsidRDefault="00572601" w:rsidP="00260BB1">
      <w:pPr>
        <w:pStyle w:val="PargrafodaLista"/>
        <w:numPr>
          <w:ilvl w:val="0"/>
          <w:numId w:val="2"/>
        </w:numPr>
      </w:pPr>
      <w:r>
        <w:t>Dia 0 (Habituação ao Aparato): O animal residente foi habituado na caixa de teste contendo o cilindro vazio por 20 minutos, permitindo a livre exploração.</w:t>
      </w:r>
    </w:p>
    <w:p w14:paraId="601CDC1A" w14:textId="77777777" w:rsidR="00572601" w:rsidRDefault="00572601" w:rsidP="00260BB1"/>
    <w:p w14:paraId="4E34A91C" w14:textId="02537F6F" w:rsidR="00572601" w:rsidRDefault="00572601" w:rsidP="00260BB1">
      <w:pPr>
        <w:pStyle w:val="PargrafodaLista"/>
        <w:numPr>
          <w:ilvl w:val="0"/>
          <w:numId w:val="2"/>
        </w:numPr>
      </w:pPr>
      <w:r>
        <w:lastRenderedPageBreak/>
        <w:t>Dia 1 (Treino): 24 horas após a habituação inicial, o residente passou por uma segunda sessão de habituação ao contexto por 10 minutos (caixa + cilindro vazio). Imediatamente após, iniciou-se a sessão de treino: o camundongo juvenil (intruso) foi colocado no interior do cilindro, e o comportamento de interação social do residente foi filmado por 5 minutos.</w:t>
      </w:r>
    </w:p>
    <w:p w14:paraId="554884F1" w14:textId="77777777" w:rsidR="00572601" w:rsidRDefault="00572601" w:rsidP="00260BB1"/>
    <w:p w14:paraId="5A20EF5C" w14:textId="584C68FD" w:rsidR="00572601" w:rsidRDefault="00572601" w:rsidP="00260BB1">
      <w:pPr>
        <w:pStyle w:val="PargrafodaLista"/>
        <w:numPr>
          <w:ilvl w:val="0"/>
          <w:numId w:val="2"/>
        </w:numPr>
      </w:pPr>
      <w:r>
        <w:t>Dia 2 (Teste de MLD): A memória de longa duração (MLD) foi testada 24 horas após o treino. O procedimento foi idêntico ao Dia 1, incluindo os 10 minutos de habituação ao contexto, seguidos pela reapresentação do mesmo intruso no cilindro por 5 minutos.</w:t>
      </w:r>
    </w:p>
    <w:p w14:paraId="32F08F4D" w14:textId="77777777" w:rsidR="00572601" w:rsidRDefault="00572601" w:rsidP="00572601"/>
    <w:p w14:paraId="287D8951" w14:textId="50111380" w:rsidR="00572601" w:rsidRDefault="00572601" w:rsidP="0006726C">
      <w:pPr>
        <w:ind w:firstLine="360"/>
      </w:pPr>
      <w:r>
        <w:t>Durante as sessões de treino (Dia 1) e testes (Dia 2), o tempo de interação social – definido como o tempo em que o animal residente manteve o focinho ativamente direcionado a um dos orifícios do cilindro – foi filmado por um sistema de câmera digital para posterior análise.</w:t>
      </w:r>
    </w:p>
    <w:p w14:paraId="37D74F08" w14:textId="70447915" w:rsidR="007F1860" w:rsidRDefault="007F1860" w:rsidP="007F1860"/>
    <w:p w14:paraId="0DE60AF3" w14:textId="3D9AAA31" w:rsidR="0006726C" w:rsidRDefault="0006726C" w:rsidP="00351C49">
      <w:pPr>
        <w:pStyle w:val="Ttulo2"/>
      </w:pPr>
      <w:r>
        <w:t>QUANTIFICAÇÃO</w:t>
      </w:r>
    </w:p>
    <w:p w14:paraId="717FE88C" w14:textId="77777777" w:rsidR="0069643E" w:rsidRPr="0069643E" w:rsidRDefault="0069643E" w:rsidP="0069643E"/>
    <w:p w14:paraId="3789F7E9" w14:textId="6BE9F13B" w:rsidR="0006726C" w:rsidRDefault="00FA186D" w:rsidP="00FA186D">
      <w:pPr>
        <w:ind w:firstLine="720"/>
      </w:pPr>
      <w:r>
        <w:t>Para alcançar o objetivo de analisar objetivamente a memória social dependente de contexto, foi criada uma ferramenta analítica que utiliza redes neurais artificiais (especificamente o DeepLabCut) para a extração de pose, e algoritmos matemáticos subsequentes para quantificar o comportamento animal. Esta abordagem permite o cálculo preciso de métricas essenciais, como o tempo de investigação social (baseado na orientação da cabeça em relação ao conspecífico) e parâmetros locomotores gerais (distância, velocidade e imobilidade), fornecendo uma descrição robusta e objetiva do desempenho do animal.</w:t>
      </w:r>
    </w:p>
    <w:p w14:paraId="78A6E4AF" w14:textId="597F4E8E" w:rsidR="00E050AE" w:rsidRDefault="00E050AE" w:rsidP="00E050AE">
      <w:pPr>
        <w:ind w:firstLine="720"/>
      </w:pPr>
      <w:r>
        <w:t xml:space="preserve">Para automatizar a quantificação do comportamento, foi desenvolvida uma ferramenta de software personalizada. A sua interface gráfica (GUI) foi encapsulada usando PySide6, uma biblioteca Python para a criação de interfaces de usuário Qt. Esta interface funciona como um </w:t>
      </w:r>
      <w:proofErr w:type="spellStart"/>
      <w:r>
        <w:t>wrapper</w:t>
      </w:r>
      <w:proofErr w:type="spellEnd"/>
      <w:r>
        <w:t xml:space="preserve"> que gerencia um pipeline de análise em duas etapas: primeiramente, a extração de coordenadas de pose a partir dos vídeos e, </w:t>
      </w:r>
      <w:r>
        <w:lastRenderedPageBreak/>
        <w:t>subsequentemente, o cálculo de métricas comportamentais (como tempo de investigação e locomoção) a partir dessas coordenadas.</w:t>
      </w:r>
    </w:p>
    <w:p w14:paraId="7B9528B1" w14:textId="77777777" w:rsidR="00E050AE" w:rsidRDefault="00E050AE" w:rsidP="00E050AE">
      <w:pPr>
        <w:ind w:firstLine="720"/>
      </w:pPr>
      <w:r>
        <w:t>A primeira etapa, a estimativa de pose, foi implementada utilizando o DeepLabCut (DLC) (</w:t>
      </w:r>
      <w:proofErr w:type="spellStart"/>
      <w:r>
        <w:t>Mathis</w:t>
      </w:r>
      <w:proofErr w:type="spellEnd"/>
      <w:r>
        <w:t xml:space="preserve"> et al., 2018), um software de código aberto para estimativa de pose animal sem marcadores. O DLC é um framework que aplica o aprendizado por transferência (</w:t>
      </w:r>
      <w:proofErr w:type="spellStart"/>
      <w:r>
        <w:t>transfer</w:t>
      </w:r>
      <w:proofErr w:type="spellEnd"/>
      <w:r>
        <w:t xml:space="preserve"> learning) a redes neurais profundas (</w:t>
      </w:r>
      <w:proofErr w:type="spellStart"/>
      <w:r>
        <w:t>DNNs</w:t>
      </w:r>
      <w:proofErr w:type="spellEnd"/>
      <w:r>
        <w:t xml:space="preserve">) pré-treinadas. Especificamente, foi utilizada uma rede neural com a arquitetura ResNet-50 (He et al., 2016), que foi pré-treinada no extenso banco de dados de imagens </w:t>
      </w:r>
      <w:proofErr w:type="spellStart"/>
      <w:r>
        <w:t>ImageNet</w:t>
      </w:r>
      <w:proofErr w:type="spellEnd"/>
      <w:r>
        <w:t xml:space="preserve"> (Deng et al., 2009), permitindo que a rede aprenda características visuais robustas antes de ser especializada na tarefa de detecção de animais. </w:t>
      </w:r>
    </w:p>
    <w:p w14:paraId="0D59F8BE" w14:textId="1A31EFA0" w:rsidR="00C4787C" w:rsidRDefault="00C4787C" w:rsidP="00C4787C">
      <w:pPr>
        <w:ind w:firstLine="720"/>
      </w:pPr>
      <w:r>
        <w:t>O processo de treinamento do modelo DLC (detalhado na Figura 1) iniciou-se com a extração de quadros (frames) estáticos dos vídeos comportamentais. Um conjunto desses quadros foi então rotulado manualmente, anotando-se a localização de pontos-chave (</w:t>
      </w:r>
      <w:proofErr w:type="spellStart"/>
      <w:r>
        <w:t>ex</w:t>
      </w:r>
      <w:proofErr w:type="spellEnd"/>
      <w:r>
        <w:t>: focinho, orelhas, centro e base da cauda). Esta rede ResNet-50 pré-treinada foi, então, "afunilada" (fine-</w:t>
      </w:r>
      <w:proofErr w:type="spellStart"/>
      <w:r>
        <w:t>tuned</w:t>
      </w:r>
      <w:proofErr w:type="spellEnd"/>
      <w:r>
        <w:t>) utilizando esses quadros rotulados, especializando-a para identificar com precisão os pontos-chave dos animais neste contexto experimental específico.</w:t>
      </w:r>
    </w:p>
    <w:p w14:paraId="7B68B836" w14:textId="77777777" w:rsidR="00C4787C" w:rsidRDefault="00C4787C" w:rsidP="00C4787C">
      <w:pPr>
        <w:ind w:firstLine="720"/>
      </w:pPr>
      <w:r>
        <w:t xml:space="preserve">Após o treinamento, o modelo DLC foi utilizado para analisar todos os vídeos experimentais, gerando um conjunto de dados de coordenadas (x, y) e a probabilidade de confiança para cada </w:t>
      </w:r>
      <w:proofErr w:type="spellStart"/>
      <w:r>
        <w:t>ponto-chave</w:t>
      </w:r>
      <w:proofErr w:type="spellEnd"/>
      <w:r>
        <w:t xml:space="preserve"> em cada quadro. Esse conjunto de dados de alta resolução, que representa a postura e a posição do animal ao longo do tempo, serviu como a entrada de dados (input) para a segunda etapa do pipeline: o cálculo algorítmico das métricas comportamentais, descrito a seguir.</w:t>
      </w:r>
    </w:p>
    <w:p w14:paraId="0D537F71" w14:textId="11E78916" w:rsidR="00C4787C" w:rsidRDefault="00C4787C" w:rsidP="00C4787C"/>
    <w:p w14:paraId="7A82D4E0" w14:textId="02F55E5E" w:rsidR="00C4787C" w:rsidRDefault="00C4787C" w:rsidP="00C4787C">
      <w:pPr>
        <w:jc w:val="center"/>
      </w:pPr>
      <w:r>
        <w:t>-----INSRERIR FIGURA AQUI-----</w:t>
      </w:r>
    </w:p>
    <w:p w14:paraId="4C083003" w14:textId="7B6FDBE3" w:rsidR="0006726C" w:rsidRPr="0006726C" w:rsidRDefault="0006726C" w:rsidP="00C4787C">
      <w:pPr>
        <w:rPr>
          <w:i/>
          <w:iCs/>
          <w:sz w:val="18"/>
          <w:szCs w:val="18"/>
        </w:rPr>
      </w:pPr>
      <w:r w:rsidRPr="0006726C">
        <w:rPr>
          <w:i/>
          <w:iCs/>
          <w:sz w:val="18"/>
          <w:szCs w:val="18"/>
        </w:rPr>
        <w:t>Figura 1 – Utilizando o DeepLabCut</w:t>
      </w:r>
    </w:p>
    <w:p w14:paraId="7126B0D3" w14:textId="574CBBC9" w:rsidR="0006726C" w:rsidRDefault="0006726C" w:rsidP="0006726C">
      <w:pPr>
        <w:rPr>
          <w:i/>
          <w:iCs/>
          <w:sz w:val="18"/>
          <w:szCs w:val="18"/>
        </w:rPr>
      </w:pPr>
      <w:r w:rsidRPr="0006726C">
        <w:rPr>
          <w:i/>
          <w:iCs/>
          <w:sz w:val="18"/>
          <w:szCs w:val="18"/>
        </w:rPr>
        <w:t xml:space="preserve">Legenda: O projeto é iniciado definindo o contexto experimental e configurando parâmetros como tamanho do conjunto de treinamento (neste caso sendo configurado como imagens estáticas extraídas dos vídeos comportamentais. A extração de quadros dos vídeos gravados segue, criando um conjunto de dados diversificado para análise subsequente. Na fase de rotulagem de quadros, anotadores humanos marcam partes-chave do corpo em cada quadro, gerando dados rotulados. Esses quadros rotulados são então organizados em um conjunto de dados, que é subsequentemente dividido em conjuntos de treinamento e validação. A rede é treinada usando o conjunto de treinamento, atualizando iterativamente seus pesos para aprender as relações espaciais dos pontos-chave rotulados. </w:t>
      </w:r>
      <w:r w:rsidRPr="0006726C">
        <w:rPr>
          <w:i/>
          <w:iCs/>
          <w:sz w:val="18"/>
          <w:szCs w:val="18"/>
        </w:rPr>
        <w:lastRenderedPageBreak/>
        <w:t>Uma vez treinado, o modelo é avaliado em novos dados de vídeo para avaliar seu desempenho de generalização. Este fluxo de trabalho facilita a estimativa de pose robusta e precisa, permitindo a extração de padrões de comportamento dos vídeos experimentais.</w:t>
      </w:r>
    </w:p>
    <w:p w14:paraId="35CCEE87" w14:textId="77777777" w:rsidR="00C4787C" w:rsidRPr="0006726C" w:rsidRDefault="00C4787C" w:rsidP="0006726C">
      <w:pPr>
        <w:rPr>
          <w:i/>
          <w:iCs/>
          <w:sz w:val="18"/>
          <w:szCs w:val="18"/>
        </w:rPr>
      </w:pPr>
    </w:p>
    <w:p w14:paraId="19B6F0F5" w14:textId="7D62AEE0" w:rsidR="00C4787C" w:rsidRDefault="00C4787C" w:rsidP="00C4787C">
      <w:pPr>
        <w:ind w:firstLine="720"/>
      </w:pPr>
      <w:r>
        <w:t>Especificamente, foram rotulados 800 quadros extraídos de 24 vídeos, divididos em um conjunto de 95% para treinamento e 5% para validação. Utilizou-se a arquitetura ResNet-50 com parâmetros padrão, treinada por 600.000 iterações (1 embaralhamento). O modelo final atingiu um erro de teste de 0,2 pixels e um erro de treino de 0,4 pixels (para imagens de 608x610 pixels), demonstrando alta precisão. Para as análises subsequentes, foi aplicado um limiar de confiança (p-</w:t>
      </w:r>
      <w:proofErr w:type="spellStart"/>
      <w:r>
        <w:t>cutoff</w:t>
      </w:r>
      <w:proofErr w:type="spellEnd"/>
      <w:r>
        <w:t>) de 0,6 para filtrar coordenadas de baixa probabilidade, garantindo que apenas localizações de alta confiança fossem usadas.</w:t>
      </w:r>
    </w:p>
    <w:p w14:paraId="25784621" w14:textId="4DDBCE9F" w:rsidR="00C4787C" w:rsidRDefault="00C4787C" w:rsidP="00C4787C">
      <w:pPr>
        <w:ind w:firstLine="720"/>
      </w:pPr>
      <w:r>
        <w:t xml:space="preserve">Esta rede neural treinada e validada foi então utilizada para analisar todos os vídeos experimentais. A saída bruta deste processo (o output do DeepLabCut) consiste em um arquivo de dados contendo as coordenadas (x, y) e a probabilidade de confiança para cada </w:t>
      </w:r>
      <w:proofErr w:type="spellStart"/>
      <w:r>
        <w:t>ponto-chave</w:t>
      </w:r>
      <w:proofErr w:type="spellEnd"/>
      <w:r>
        <w:t xml:space="preserve"> (focinho, orelhas, etc.) em cada quadro (frame) do vídeo. Este conjunto de dados de alta resolução serve como o input para a segunda etapa do pipeline de análise, que é executada pela interface PySide6: um script Python personalizado, responsável por traduzir esses dados de pose brutos em métricas comportamentais quantificáveis.</w:t>
      </w:r>
    </w:p>
    <w:p w14:paraId="01927D5A" w14:textId="04927E5C" w:rsidR="00C4787C" w:rsidRDefault="00C4787C" w:rsidP="00C4787C">
      <w:pPr>
        <w:ind w:firstLine="720"/>
      </w:pPr>
      <w:r>
        <w:t>A partir desta análise algorítmica, o script gera as seguintes métricas finais para cada sessão experimental: tempo de investigação total (s), tempo total de movimentação (s), tempo total de imobilidade (s), distância total percorrida (cm) e velocidade média (cm</w:t>
      </w:r>
      <w:r>
        <w:rPr>
          <w:rFonts w:ascii="Cambria Math" w:hAnsi="Cambria Math" w:cs="Cambria Math"/>
        </w:rPr>
        <w:t>⋅</w:t>
      </w:r>
      <w:r>
        <w:t>s</w:t>
      </w:r>
      <w:r>
        <w:rPr>
          <w:rFonts w:cs="Arial"/>
        </w:rPr>
        <w:t>−</w:t>
      </w:r>
      <w:r>
        <w:t>1). Os c</w:t>
      </w:r>
      <w:r>
        <w:rPr>
          <w:rFonts w:cs="Arial"/>
        </w:rPr>
        <w:t>á</w:t>
      </w:r>
      <w:r>
        <w:t>lculos espec</w:t>
      </w:r>
      <w:r>
        <w:rPr>
          <w:rFonts w:cs="Arial"/>
        </w:rPr>
        <w:t>í</w:t>
      </w:r>
      <w:r>
        <w:t>ficos para as principais m</w:t>
      </w:r>
      <w:r>
        <w:rPr>
          <w:rFonts w:cs="Arial"/>
        </w:rPr>
        <w:t>é</w:t>
      </w:r>
      <w:r>
        <w:t>tricas s</w:t>
      </w:r>
      <w:r>
        <w:rPr>
          <w:rFonts w:cs="Arial"/>
        </w:rPr>
        <w:t>ã</w:t>
      </w:r>
      <w:r>
        <w:t>o detalhados a seguir.</w:t>
      </w:r>
    </w:p>
    <w:p w14:paraId="23F0CE60" w14:textId="6CE2EF30" w:rsidR="0006726C" w:rsidRDefault="00C4787C" w:rsidP="00C4787C">
      <w:pPr>
        <w:ind w:firstLine="720"/>
      </w:pPr>
      <w:r>
        <w:t>O tempo de investigação, a métrica central, é calculado através de uma série de etapas geométricas. O script utiliza as coordenadas do nariz e das orelhas (extraídas pelo DLC) para definir a orientação da cabeça do animal, e compara essa orientação com as Regiões de Interesse (</w:t>
      </w:r>
      <w:proofErr w:type="spellStart"/>
      <w:r>
        <w:t>ROIs</w:t>
      </w:r>
      <w:proofErr w:type="spellEnd"/>
      <w:r>
        <w:t xml:space="preserve">) pré-definidas que delimitam os estímulos sociais. O tempo de investigação é então determinado pela detecção de "colisões" entre a região da cabeça do animal e as </w:t>
      </w:r>
      <w:proofErr w:type="spellStart"/>
      <w:r>
        <w:t>ROIs</w:t>
      </w:r>
      <w:proofErr w:type="spellEnd"/>
      <w:r>
        <w:t>. A soma de todos os quadros onde uma colisão é detectada é utilizada como o tempo de investigação total. Dado que os vídeos foram gravados a 30 quadros por segundo (</w:t>
      </w:r>
      <w:proofErr w:type="spellStart"/>
      <w:r>
        <w:t>fps</w:t>
      </w:r>
      <w:proofErr w:type="spellEnd"/>
      <w:r>
        <w:t xml:space="preserve">), </w:t>
      </w:r>
      <w:r w:rsidR="0006726C">
        <w:t xml:space="preserve">a soma de todos os instantes detectados como </w:t>
      </w:r>
      <w:r w:rsidR="0006726C">
        <w:lastRenderedPageBreak/>
        <w:t xml:space="preserve">“colisão” é utilizada como investigação total dado que uma colisão em um vídeo gravado a 30 frames por segundo nos dá um total de 33.3 milissegundos por frame (ou instante).  </w:t>
      </w:r>
    </w:p>
    <w:p w14:paraId="04A3069E" w14:textId="55647FDA" w:rsidR="00BC11B2" w:rsidRDefault="0006726C" w:rsidP="00351C49">
      <w:pPr>
        <w:ind w:firstLine="720"/>
      </w:pPr>
      <w:r>
        <w:t>Especificamente, o algoritmo para análise envolve o cálculo do triângulo formado pelas orelhas e focinho do animal, o estabelecimento de um limiar à frente dessa região e, por último, a detecção de “colisões” entre essa área e a ROI:</w:t>
      </w:r>
    </w:p>
    <w:p w14:paraId="71402D3A" w14:textId="2982B330" w:rsidR="00D031D3" w:rsidRDefault="00D031D3" w:rsidP="00351C49">
      <w:pPr>
        <w:pStyle w:val="Ttulo3"/>
      </w:pPr>
      <w:r>
        <w:t>Cálculo do Triângulo (Geometria da Cabeça)</w:t>
      </w:r>
    </w:p>
    <w:p w14:paraId="1620EEB0" w14:textId="77777777" w:rsidR="006057BE" w:rsidRPr="006057BE" w:rsidRDefault="006057BE" w:rsidP="006057BE"/>
    <w:p w14:paraId="4613FAD6" w14:textId="6749F7CF" w:rsidR="00D031D3" w:rsidRDefault="00D031D3" w:rsidP="00D031D3">
      <w:r>
        <w:t xml:space="preserve">Para determinar a orientação da cabeça do animal, a geometria da cabeça é definida em cada quadro usando as coordenadas dos pontos-chave extraídos pelo DLC: </w:t>
      </w:r>
      <m:oMath>
        <m:r>
          <w:rPr>
            <w:rFonts w:ascii="Cambria Math" w:hAnsi="Cambria Math"/>
          </w:rPr>
          <m:t xml:space="preserve">Nariz </m:t>
        </m:r>
        <m:d>
          <m:dPr>
            <m:ctrlPr>
              <w:rPr>
                <w:rFonts w:ascii="Cambria Math" w:hAnsi="Cambria Math"/>
                <w:i/>
              </w:rPr>
            </m:ctrlPr>
          </m:dPr>
          <m:e>
            <m:r>
              <w:rPr>
                <w:rFonts w:ascii="Cambria Math" w:hAnsi="Cambria Math"/>
              </w:rPr>
              <m:t xml:space="preserve">N = </m:t>
            </m:r>
            <m:d>
              <m:dPr>
                <m:ctrlPr>
                  <w:rPr>
                    <w:rFonts w:ascii="Cambria Math" w:hAnsi="Cambria Math"/>
                    <w:i/>
                  </w:rPr>
                </m:ctrlPr>
              </m:dPr>
              <m:e>
                <m:r>
                  <w:rPr>
                    <w:rFonts w:ascii="Cambria Math" w:hAnsi="Cambria Math"/>
                  </w:rPr>
                  <m:t>xn, yn</m:t>
                </m:r>
              </m:e>
            </m:d>
          </m:e>
        </m:d>
        <m:r>
          <w:rPr>
            <w:rFonts w:ascii="Cambria Math" w:hAnsi="Cambria Math"/>
          </w:rPr>
          <m:t>,</m:t>
        </m:r>
      </m:oMath>
      <w:r>
        <w:t xml:space="preserve"> </w:t>
      </w:r>
      <m:oMath>
        <m:r>
          <w:rPr>
            <w:rFonts w:ascii="Cambria Math" w:hAnsi="Cambria Math"/>
          </w:rPr>
          <m:t>Orelha Esquerda</m:t>
        </m:r>
      </m:oMath>
      <w:r>
        <w:t xml:space="preserve"> </w:t>
      </w:r>
      <m:oMath>
        <m:d>
          <m:dPr>
            <m:ctrlPr>
              <w:rPr>
                <w:rFonts w:ascii="Cambria Math" w:hAnsi="Cambria Math"/>
                <w:i/>
              </w:rPr>
            </m:ctrlPr>
          </m:dPr>
          <m:e>
            <m:r>
              <w:rPr>
                <w:rFonts w:ascii="Cambria Math" w:hAnsi="Cambria Math"/>
              </w:rPr>
              <m:t xml:space="preserve">O1 = </m:t>
            </m:r>
            <m:d>
              <m:dPr>
                <m:ctrlPr>
                  <w:rPr>
                    <w:rFonts w:ascii="Cambria Math" w:hAnsi="Cambria Math"/>
                    <w:i/>
                  </w:rPr>
                </m:ctrlPr>
              </m:dPr>
              <m:e>
                <m:r>
                  <w:rPr>
                    <w:rFonts w:ascii="Cambria Math" w:hAnsi="Cambria Math"/>
                  </w:rPr>
                  <m:t>xo1, yo1</m:t>
                </m:r>
              </m:e>
            </m:d>
          </m:e>
        </m:d>
      </m:oMath>
      <w:r>
        <w:t xml:space="preserve"> e </w:t>
      </w:r>
      <m:oMath>
        <m:r>
          <w:rPr>
            <w:rFonts w:ascii="Cambria Math" w:hAnsi="Cambria Math"/>
          </w:rPr>
          <m:t>Orelha Direita</m:t>
        </m:r>
      </m:oMath>
      <w:r>
        <w:t xml:space="preserve"> </w:t>
      </w:r>
      <m:oMath>
        <m:d>
          <m:dPr>
            <m:ctrlPr>
              <w:rPr>
                <w:rFonts w:ascii="Cambria Math" w:hAnsi="Cambria Math"/>
                <w:i/>
              </w:rPr>
            </m:ctrlPr>
          </m:dPr>
          <m:e>
            <m:r>
              <w:rPr>
                <w:rFonts w:ascii="Cambria Math" w:hAnsi="Cambria Math"/>
              </w:rPr>
              <m:t xml:space="preserve">O2 = </m:t>
            </m:r>
            <m:d>
              <m:dPr>
                <m:ctrlPr>
                  <w:rPr>
                    <w:rFonts w:ascii="Cambria Math" w:hAnsi="Cambria Math"/>
                    <w:i/>
                  </w:rPr>
                </m:ctrlPr>
              </m:dPr>
              <m:e>
                <m:r>
                  <w:rPr>
                    <w:rFonts w:ascii="Cambria Math" w:hAnsi="Cambria Math"/>
                  </w:rPr>
                  <m:t>xo2, yo2</m:t>
                </m:r>
              </m:e>
            </m:d>
          </m:e>
        </m:d>
        <m:r>
          <w:rPr>
            <w:rFonts w:ascii="Cambria Math" w:hAnsi="Cambria Math"/>
          </w:rPr>
          <m:t>.</m:t>
        </m:r>
      </m:oMath>
      <w:r>
        <w:t xml:space="preserve"> Os comprimentos dos três lados deste triângulo (lado A entre as orelhas, B entre N e O2, e C entre N e O1) são calculados usando a fórmula da distância Euclidiana:</w:t>
      </w:r>
    </w:p>
    <w:p w14:paraId="078ACBD2" w14:textId="77777777" w:rsidR="00D031D3" w:rsidRDefault="00D031D3" w:rsidP="00D031D3"/>
    <w:p w14:paraId="72B9F63A" w14:textId="6D81AEF9" w:rsidR="00D031D3" w:rsidRDefault="00D031D3" w:rsidP="00D031D3">
      <m:oMathPara>
        <m:oMath>
          <m:r>
            <w:rPr>
              <w:rFonts w:ascii="Cambria Math" w:hAnsi="Cambria Math"/>
            </w:rPr>
            <m:t xml:space="preserve">d = </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r>
                        <w:rPr>
                          <w:rFonts w:ascii="Cambria Math" w:hAnsi="Cambria Math"/>
                        </w:rPr>
                        <m:t>x2 - x1</m:t>
                      </m:r>
                    </m:e>
                  </m:d>
                </m:e>
                <m:sup>
                  <m:r>
                    <w:rPr>
                      <w:rFonts w:ascii="Cambria Math" w:hAnsi="Cambria Math"/>
                    </w:rPr>
                    <m:t>2</m:t>
                  </m:r>
                </m:sup>
              </m:sSup>
              <m:r>
                <w:rPr>
                  <w:rFonts w:ascii="Cambria Math" w:hAnsi="Cambria Math"/>
                </w:rPr>
                <m:t xml:space="preserve">+ </m:t>
              </m:r>
              <m:sSup>
                <m:sSupPr>
                  <m:ctrlPr>
                    <w:rPr>
                      <w:rFonts w:ascii="Cambria Math" w:hAnsi="Cambria Math"/>
                      <w:i/>
                    </w:rPr>
                  </m:ctrlPr>
                </m:sSupPr>
                <m:e>
                  <m:d>
                    <m:dPr>
                      <m:ctrlPr>
                        <w:rPr>
                          <w:rFonts w:ascii="Cambria Math" w:hAnsi="Cambria Math"/>
                          <w:i/>
                        </w:rPr>
                      </m:ctrlPr>
                    </m:dPr>
                    <m:e>
                      <m:r>
                        <w:rPr>
                          <w:rFonts w:ascii="Cambria Math" w:hAnsi="Cambria Math"/>
                        </w:rPr>
                        <m:t>y2 - y1</m:t>
                      </m:r>
                    </m:e>
                  </m:d>
                </m:e>
                <m:sup>
                  <m:r>
                    <w:rPr>
                      <w:rFonts w:ascii="Cambria Math" w:hAnsi="Cambria Math"/>
                    </w:rPr>
                    <m:t>2</m:t>
                  </m:r>
                </m:sup>
              </m:sSup>
            </m:e>
          </m:rad>
        </m:oMath>
      </m:oMathPara>
    </w:p>
    <w:p w14:paraId="6327FF16" w14:textId="77777777" w:rsidR="00D031D3" w:rsidRDefault="00D031D3" w:rsidP="00D031D3"/>
    <w:p w14:paraId="1071DE1D" w14:textId="7F93C91B" w:rsidR="00D031D3" w:rsidRDefault="00D031D3" w:rsidP="00D031D3">
      <w:r>
        <w:t>A área (</w:t>
      </w:r>
      <m:oMath>
        <m:r>
          <w:rPr>
            <w:rFonts w:ascii="Cambria Math" w:hAnsi="Cambria Math"/>
          </w:rPr>
          <m:t>A</m:t>
        </m:r>
      </m:oMath>
      <w:r>
        <w:t>) deste triângulo é então calculada usando a fórmula de Heron. Esta área serve como uma métrica de validação da postura da cabe</w:t>
      </w:r>
      <w:proofErr w:type="spellStart"/>
      <w:r>
        <w:t>ça</w:t>
      </w:r>
      <w:proofErr w:type="spellEnd"/>
      <w:r>
        <w:t xml:space="preserve"> (por exemplo, para filtrar quadros onde a detecção da pose falhou ou a cabeça está obscurecida). O cálculo requer o </w:t>
      </w:r>
      <w:proofErr w:type="spellStart"/>
      <w:r>
        <w:t>semi-perímetro</w:t>
      </w:r>
      <w:proofErr w:type="spellEnd"/>
      <w:r>
        <w:t xml:space="preserve"> </w:t>
      </w:r>
      <m:oMath>
        <m:r>
          <w:rPr>
            <w:rFonts w:ascii="Cambria Math" w:hAnsi="Cambria Math"/>
          </w:rPr>
          <m:t>s =</m:t>
        </m:r>
        <m:f>
          <m:fPr>
            <m:ctrlPr>
              <w:rPr>
                <w:rFonts w:ascii="Cambria Math" w:hAnsi="Cambria Math"/>
                <w:i/>
              </w:rPr>
            </m:ctrlPr>
          </m:fPr>
          <m:num>
            <m:d>
              <m:dPr>
                <m:ctrlPr>
                  <w:rPr>
                    <w:rFonts w:ascii="Cambria Math" w:hAnsi="Cambria Math"/>
                    <w:i/>
                  </w:rPr>
                </m:ctrlPr>
              </m:dPr>
              <m:e>
                <m:r>
                  <w:rPr>
                    <w:rFonts w:ascii="Cambria Math" w:hAnsi="Cambria Math"/>
                  </w:rPr>
                  <m:t>a + b + c</m:t>
                </m:r>
              </m:e>
            </m:d>
          </m:num>
          <m:den>
            <m:r>
              <w:rPr>
                <w:rFonts w:ascii="Cambria Math" w:hAnsi="Cambria Math"/>
              </w:rPr>
              <m:t>2</m:t>
            </m:r>
          </m:den>
        </m:f>
      </m:oMath>
      <w:r>
        <w:t>, sendo a área definida como:</w:t>
      </w:r>
    </w:p>
    <w:p w14:paraId="7B62C052" w14:textId="77777777" w:rsidR="00D031D3" w:rsidRDefault="00D031D3" w:rsidP="00D031D3"/>
    <w:p w14:paraId="1678F610" w14:textId="689F9A9D" w:rsidR="00D031D3" w:rsidRDefault="00D031D3" w:rsidP="00D031D3">
      <m:oMathPara>
        <m:oMath>
          <m:r>
            <w:rPr>
              <w:rFonts w:ascii="Cambria Math" w:hAnsi="Cambria Math"/>
            </w:rPr>
            <m:t xml:space="preserve">A = </m:t>
          </m:r>
          <m:rad>
            <m:radPr>
              <m:degHide m:val="1"/>
              <m:ctrlPr>
                <w:rPr>
                  <w:rFonts w:ascii="Cambria Math" w:hAnsi="Cambria Math"/>
                  <w:i/>
                </w:rPr>
              </m:ctrlPr>
            </m:radPr>
            <m:deg/>
            <m:e>
              <m:r>
                <w:rPr>
                  <w:rFonts w:ascii="Cambria Math" w:hAnsi="Cambria Math"/>
                </w:rPr>
                <m:t xml:space="preserve">s * </m:t>
              </m:r>
              <m:d>
                <m:dPr>
                  <m:ctrlPr>
                    <w:rPr>
                      <w:rFonts w:ascii="Cambria Math" w:hAnsi="Cambria Math"/>
                      <w:i/>
                    </w:rPr>
                  </m:ctrlPr>
                </m:dPr>
                <m:e>
                  <m:r>
                    <w:rPr>
                      <w:rFonts w:ascii="Cambria Math" w:hAnsi="Cambria Math"/>
                    </w:rPr>
                    <m:t>s - a</m:t>
                  </m:r>
                </m:e>
              </m:d>
              <m:r>
                <w:rPr>
                  <w:rFonts w:ascii="Cambria Math" w:hAnsi="Cambria Math"/>
                </w:rPr>
                <m:t xml:space="preserve">* </m:t>
              </m:r>
              <m:d>
                <m:dPr>
                  <m:ctrlPr>
                    <w:rPr>
                      <w:rFonts w:ascii="Cambria Math" w:hAnsi="Cambria Math"/>
                      <w:i/>
                    </w:rPr>
                  </m:ctrlPr>
                </m:dPr>
                <m:e>
                  <m:r>
                    <w:rPr>
                      <w:rFonts w:ascii="Cambria Math" w:hAnsi="Cambria Math"/>
                    </w:rPr>
                    <m:t>s - b</m:t>
                  </m:r>
                </m:e>
              </m:d>
              <m:r>
                <w:rPr>
                  <w:rFonts w:ascii="Cambria Math" w:hAnsi="Cambria Math"/>
                </w:rPr>
                <m:t xml:space="preserve">* </m:t>
              </m:r>
              <m:d>
                <m:dPr>
                  <m:ctrlPr>
                    <w:rPr>
                      <w:rFonts w:ascii="Cambria Math" w:hAnsi="Cambria Math"/>
                      <w:i/>
                    </w:rPr>
                  </m:ctrlPr>
                </m:dPr>
                <m:e>
                  <m:r>
                    <w:rPr>
                      <w:rFonts w:ascii="Cambria Math" w:hAnsi="Cambria Math"/>
                    </w:rPr>
                    <m:t>s - c</m:t>
                  </m:r>
                </m:e>
              </m:d>
            </m:e>
          </m:rad>
        </m:oMath>
      </m:oMathPara>
    </w:p>
    <w:p w14:paraId="3984896C" w14:textId="77777777" w:rsidR="00D031D3" w:rsidRDefault="00D031D3" w:rsidP="00D031D3"/>
    <w:p w14:paraId="7BADF183" w14:textId="30BEE7B1" w:rsidR="00D031D3" w:rsidRDefault="00D031D3" w:rsidP="00351C49">
      <w:pPr>
        <w:pStyle w:val="Ttulo3"/>
      </w:pPr>
      <w:r>
        <w:t>Cálculo do Limiar (Vetor de Investigação)</w:t>
      </w:r>
    </w:p>
    <w:p w14:paraId="077346E1" w14:textId="25281FEE" w:rsidR="00351C49" w:rsidRDefault="00D031D3" w:rsidP="00D031D3">
      <w:pPr>
        <w:ind w:firstLine="720"/>
      </w:pPr>
      <w:r>
        <w:t xml:space="preserve">Para estabelecer o limiar de exploração, o algoritmo define um vetor de direção da cabeça </w:t>
      </w:r>
      <m:oMath>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direção</m:t>
                </m:r>
              </m:sub>
            </m:sSub>
          </m:e>
        </m:d>
        <m:r>
          <w:rPr>
            <w:rFonts w:ascii="Cambria Math" w:hAnsi="Cambria Math"/>
          </w:rPr>
          <m:t xml:space="preserve">. </m:t>
        </m:r>
      </m:oMath>
      <w:r>
        <w:t>Este vetor é computado como a linha perpendicular ao segmento de reta que conecta as duas orelhas (</w:t>
      </w:r>
      <m:oMath>
        <m:sSub>
          <m:sSubPr>
            <m:ctrlPr>
              <w:rPr>
                <w:rFonts w:ascii="Cambria Math" w:hAnsi="Cambria Math"/>
                <w:i/>
              </w:rPr>
            </m:ctrlPr>
          </m:sSubPr>
          <m:e>
            <m:r>
              <w:rPr>
                <w:rFonts w:ascii="Cambria Math" w:hAnsi="Cambria Math"/>
              </w:rPr>
              <m:t>L</m:t>
            </m:r>
          </m:e>
          <m:sub>
            <m:r>
              <w:rPr>
                <w:rFonts w:ascii="Cambria Math" w:hAnsi="Cambria Math"/>
              </w:rPr>
              <m:t>orelhas</m:t>
            </m:r>
          </m:sub>
        </m:sSub>
      </m:oMath>
      <w:r>
        <w:t>) e que passa pelo ponto N (</w:t>
      </w:r>
      <m:oMath>
        <m:r>
          <w:rPr>
            <w:rFonts w:ascii="Cambria Math" w:hAnsi="Cambria Math"/>
          </w:rPr>
          <m:t>Nariz</m:t>
        </m:r>
      </m:oMath>
      <w:r>
        <w:t xml:space="preserve">). Dada a inclinação da linha das orelhas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orelhas</m:t>
                </m:r>
              </m:sub>
            </m:sSub>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yo2 – yo1</m:t>
                    </m:r>
                  </m:e>
                </m:d>
              </m:num>
              <m:den>
                <m:d>
                  <m:dPr>
                    <m:ctrlPr>
                      <w:rPr>
                        <w:rFonts w:ascii="Cambria Math" w:eastAsiaTheme="minorEastAsia" w:hAnsi="Cambria Math"/>
                        <w:i/>
                      </w:rPr>
                    </m:ctrlPr>
                  </m:dPr>
                  <m:e>
                    <m:r>
                      <w:rPr>
                        <w:rFonts w:ascii="Cambria Math" w:eastAsiaTheme="minorEastAsia" w:hAnsi="Cambria Math"/>
                      </w:rPr>
                      <m:t>xo2 – xo1</m:t>
                    </m:r>
                  </m:e>
                </m:d>
              </m:den>
            </m:f>
          </m:e>
        </m:d>
      </m:oMath>
      <w:r w:rsidR="00351C49">
        <w:rPr>
          <w:rFonts w:eastAsiaTheme="minorEastAsia"/>
        </w:rPr>
        <w:t xml:space="preserve"> </w:t>
      </w:r>
      <w:r>
        <w:t xml:space="preserve"> a inclinação da linha de investigação é </w:t>
      </w:r>
      <m:oMath>
        <m:sSub>
          <m:sSubPr>
            <m:ctrlPr>
              <w:rPr>
                <w:rFonts w:ascii="Cambria Math" w:hAnsi="Cambria Math"/>
                <w:i/>
              </w:rPr>
            </m:ctrlPr>
          </m:sSubPr>
          <m:e>
            <m:r>
              <w:rPr>
                <w:rFonts w:ascii="Cambria Math" w:hAnsi="Cambria Math"/>
              </w:rPr>
              <m:t>m</m:t>
            </m:r>
          </m:e>
          <m:sub>
            <m:r>
              <w:rPr>
                <w:rFonts w:ascii="Cambria Math" w:hAnsi="Cambria Math"/>
              </w:rPr>
              <m:t>investigação</m:t>
            </m:r>
          </m:sub>
        </m:sSub>
        <m:r>
          <w:rPr>
            <w:rFonts w:ascii="Cambria Math" w:hAnsi="Cambria Math"/>
          </w:rPr>
          <m:t>= -</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m</m:t>
                </m:r>
              </m:e>
              <m:sub>
                <m:r>
                  <w:rPr>
                    <w:rFonts w:ascii="Cambria Math" w:hAnsi="Cambria Math"/>
                  </w:rPr>
                  <m:t>orelhas</m:t>
                </m:r>
              </m:sub>
            </m:sSub>
          </m:den>
        </m:f>
      </m:oMath>
    </w:p>
    <w:p w14:paraId="3395BB9D" w14:textId="1F7C87D2" w:rsidR="00D031D3" w:rsidRDefault="00D031D3" w:rsidP="00D031D3">
      <w:pPr>
        <w:ind w:firstLine="720"/>
      </w:pPr>
      <w:r>
        <w:lastRenderedPageBreak/>
        <w:t>Este vetor é então estendido à frente do nariz por uma distância pré-determinada (em pixels), criando um segmento de reta que representa o "focinho" virtual do animal. Este segmento de reta (o "limiar") é a geometria exata usada para testar colisões com as Regiões de Interesse (</w:t>
      </w:r>
      <w:proofErr w:type="spellStart"/>
      <w:r>
        <w:t>ROIs</w:t>
      </w:r>
      <w:proofErr w:type="spellEnd"/>
      <w:r>
        <w:t>) que definem os estímulos sociais.</w:t>
      </w:r>
    </w:p>
    <w:p w14:paraId="5FA41A89" w14:textId="77777777" w:rsidR="00D031D3" w:rsidRDefault="00D031D3" w:rsidP="00D031D3"/>
    <w:p w14:paraId="3FA89970" w14:textId="30510804" w:rsidR="00D031D3" w:rsidRDefault="00D031D3" w:rsidP="00351C49">
      <w:pPr>
        <w:pStyle w:val="Ttulo3"/>
      </w:pPr>
      <w:r>
        <w:t>Detecção de Colisões (Quantificação da Investigação)</w:t>
      </w:r>
    </w:p>
    <w:p w14:paraId="2FAD6183" w14:textId="77777777" w:rsidR="006057BE" w:rsidRPr="006057BE" w:rsidRDefault="006057BE" w:rsidP="006057BE"/>
    <w:p w14:paraId="6FD9F9DA" w14:textId="05D4DD5F" w:rsidR="00D031D3" w:rsidRDefault="00D031D3" w:rsidP="00351C49">
      <w:pPr>
        <w:ind w:firstLine="720"/>
      </w:pPr>
      <w:r>
        <w:t xml:space="preserve">A investigação social é quantificada, quadro a quadro, pela detecção de colisões entre o "limiar" (o segmento de reta que representa o focinho) e as </w:t>
      </w:r>
      <w:proofErr w:type="spellStart"/>
      <w:r>
        <w:t>ROIs</w:t>
      </w:r>
      <w:proofErr w:type="spellEnd"/>
      <w:r>
        <w:t xml:space="preserve"> (tratadas como circunferências). Para cada ROI, definida por um centro (</w:t>
      </w:r>
      <m:oMath>
        <m:r>
          <w:rPr>
            <w:rFonts w:ascii="Cambria Math" w:hAnsi="Cambria Math"/>
          </w:rPr>
          <m:t>xc, yc</m:t>
        </m:r>
      </m:oMath>
      <w:r>
        <w:t xml:space="preserve">) e um raio </w:t>
      </w:r>
      <m:oMath>
        <m:r>
          <w:rPr>
            <w:rFonts w:ascii="Cambria Math" w:hAnsi="Cambria Math"/>
          </w:rPr>
          <m:t>r</m:t>
        </m:r>
      </m:oMath>
      <w:r>
        <w:t>, o algoritmo resolve a interseção entre o segmento de reta do limiar e a equação da circunferência:</w:t>
      </w:r>
    </w:p>
    <w:p w14:paraId="523D4008" w14:textId="77777777" w:rsidR="00351C49" w:rsidRDefault="00351C49" w:rsidP="00351C49">
      <w:pPr>
        <w:ind w:firstLine="720"/>
      </w:pPr>
    </w:p>
    <w:p w14:paraId="45DB5426" w14:textId="51FACB8E" w:rsidR="00D031D3" w:rsidRDefault="008A5BC3" w:rsidP="00D031D3">
      <m:oMathPara>
        <m:oMath>
          <m:sSup>
            <m:sSupPr>
              <m:ctrlPr>
                <w:rPr>
                  <w:rFonts w:ascii="Cambria Math" w:hAnsi="Cambria Math"/>
                  <w:i/>
                </w:rPr>
              </m:ctrlPr>
            </m:sSupPr>
            <m:e>
              <m:d>
                <m:dPr>
                  <m:ctrlPr>
                    <w:rPr>
                      <w:rFonts w:ascii="Cambria Math" w:hAnsi="Cambria Math"/>
                      <w:i/>
                    </w:rPr>
                  </m:ctrlPr>
                </m:dPr>
                <m:e>
                  <m:r>
                    <w:rPr>
                      <w:rFonts w:ascii="Cambria Math" w:hAnsi="Cambria Math"/>
                    </w:rPr>
                    <m:t>x - xc</m:t>
                  </m:r>
                </m:e>
              </m:d>
            </m:e>
            <m:sup>
              <m:r>
                <w:rPr>
                  <w:rFonts w:ascii="Cambria Math" w:hAnsi="Cambria Math"/>
                </w:rPr>
                <m:t>2</m:t>
              </m:r>
            </m:sup>
          </m:sSup>
          <m:r>
            <w:rPr>
              <w:rFonts w:ascii="Cambria Math" w:hAnsi="Cambria Math"/>
            </w:rPr>
            <m:t xml:space="preserve">+ </m:t>
          </m:r>
          <m:sSup>
            <m:sSupPr>
              <m:ctrlPr>
                <w:rPr>
                  <w:rFonts w:ascii="Cambria Math" w:hAnsi="Cambria Math"/>
                  <w:i/>
                </w:rPr>
              </m:ctrlPr>
            </m:sSupPr>
            <m:e>
              <m:d>
                <m:dPr>
                  <m:ctrlPr>
                    <w:rPr>
                      <w:rFonts w:ascii="Cambria Math" w:hAnsi="Cambria Math"/>
                      <w:i/>
                    </w:rPr>
                  </m:ctrlPr>
                </m:dPr>
                <m:e>
                  <m:r>
                    <w:rPr>
                      <w:rFonts w:ascii="Cambria Math" w:hAnsi="Cambria Math"/>
                    </w:rPr>
                    <m:t>y - yc</m:t>
                  </m:r>
                </m:e>
              </m:d>
            </m:e>
            <m:sup>
              <m:r>
                <w:rPr>
                  <w:rFonts w:ascii="Cambria Math" w:hAnsi="Cambria Math"/>
                </w:rPr>
                <m:t>2</m:t>
              </m:r>
            </m:sup>
          </m:sSup>
          <m:r>
            <w:rPr>
              <w:rFonts w:ascii="Cambria Math" w:hAnsi="Cambria Math"/>
            </w:rPr>
            <m:t xml:space="preserve">= </m:t>
          </m:r>
          <m:sSup>
            <m:sSupPr>
              <m:ctrlPr>
                <w:rPr>
                  <w:rFonts w:ascii="Cambria Math" w:hAnsi="Cambria Math"/>
                  <w:i/>
                </w:rPr>
              </m:ctrlPr>
            </m:sSupPr>
            <m:e>
              <m:r>
                <w:rPr>
                  <w:rFonts w:ascii="Cambria Math" w:hAnsi="Cambria Math"/>
                </w:rPr>
                <m:t>r</m:t>
              </m:r>
            </m:e>
            <m:sup>
              <m:r>
                <w:rPr>
                  <w:rFonts w:ascii="Cambria Math" w:hAnsi="Cambria Math"/>
                </w:rPr>
                <m:t>2</m:t>
              </m:r>
            </m:sup>
          </m:sSup>
        </m:oMath>
      </m:oMathPara>
    </w:p>
    <w:p w14:paraId="0E96F63E" w14:textId="77777777" w:rsidR="00351C49" w:rsidRDefault="00351C49" w:rsidP="00D031D3">
      <w:pPr>
        <w:ind w:firstLine="720"/>
      </w:pPr>
    </w:p>
    <w:p w14:paraId="5DBBF7F7" w14:textId="2B6CB4F0" w:rsidR="0006726C" w:rsidRDefault="00D031D3" w:rsidP="00351C49">
      <w:pPr>
        <w:ind w:firstLine="720"/>
      </w:pPr>
      <w:r>
        <w:t>Ao substituir a equação da reta (</w:t>
      </w:r>
      <m:oMath>
        <m:r>
          <w:rPr>
            <w:rFonts w:ascii="Cambria Math" w:hAnsi="Cambria Math"/>
          </w:rPr>
          <m:t>y = mx + b</m:t>
        </m:r>
      </m:oMath>
      <w:r>
        <w:t xml:space="preserve">) na equação da circunferência, obtém-se uma equação quadrática da forma </w:t>
      </w:r>
      <m:oMath>
        <m:r>
          <w:rPr>
            <w:rFonts w:ascii="Cambria Math" w:hAnsi="Cambria Math"/>
          </w:rPr>
          <m:t>A</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Bx + C = 0</m:t>
        </m:r>
      </m:oMath>
      <w:r>
        <w:t xml:space="preserve">. A existência de uma interseção real é determinada pelo discriminante </w:t>
      </w:r>
      <m:oMath>
        <m:d>
          <m:dPr>
            <m:ctrlPr>
              <w:rPr>
                <w:rFonts w:ascii="Cambria Math" w:hAnsi="Cambria Math"/>
                <w:i/>
              </w:rPr>
            </m:ctrlPr>
          </m:dPr>
          <m:e>
            <m:r>
              <w:rPr>
                <w:rFonts w:ascii="Cambria Math" w:hAnsi="Cambria Math"/>
              </w:rPr>
              <m:t xml:space="preserve">Delta = </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 4AC</m:t>
            </m:r>
          </m:e>
        </m:d>
        <m:r>
          <w:rPr>
            <w:rFonts w:ascii="Cambria Math" w:hAnsi="Cambria Math"/>
          </w:rPr>
          <m:t>.  Se Delta &gt;= 0</m:t>
        </m:r>
      </m:oMath>
      <w:r>
        <w:t>, uma colisão é detectada, e o quadro é rotulado como "investigação". O tempo total de investigação é a soma desses quadros multiplicada pelo inverso da taxa de quadros (</w:t>
      </w:r>
      <w:proofErr w:type="spellStart"/>
      <w:r>
        <w:t>ex</w:t>
      </w:r>
      <w:proofErr w:type="spellEnd"/>
      <w:r>
        <w:t xml:space="preserve">: 33,3 </w:t>
      </w:r>
      <w:proofErr w:type="spellStart"/>
      <w:r>
        <w:t>ms</w:t>
      </w:r>
      <w:proofErr w:type="spellEnd"/>
      <w:r>
        <w:t xml:space="preserve"> para 30 </w:t>
      </w:r>
      <w:proofErr w:type="spellStart"/>
      <w:r>
        <w:t>fps</w:t>
      </w:r>
      <w:proofErr w:type="spellEnd"/>
      <w:r>
        <w:t>).</w:t>
      </w:r>
      <w:r w:rsidR="00351C49">
        <w:t xml:space="preserve"> </w:t>
      </w:r>
      <w:r w:rsidR="0006726C">
        <w:t xml:space="preserve">Cada frame do vídeo é analisado para avaliar se há uma colisão entre o nariz e alguma ROI. </w:t>
      </w:r>
    </w:p>
    <w:p w14:paraId="7CA5E0F3" w14:textId="77777777" w:rsidR="00351C49" w:rsidRDefault="00351C49" w:rsidP="00351C49"/>
    <w:p w14:paraId="28A2F766" w14:textId="7B86C7A4" w:rsidR="00351C49" w:rsidRDefault="00351C49" w:rsidP="00351C49">
      <w:pPr>
        <w:pStyle w:val="Ttulo3"/>
      </w:pPr>
      <w:r>
        <w:t>Análise de Atividade Locomotora</w:t>
      </w:r>
    </w:p>
    <w:p w14:paraId="0EF9D056" w14:textId="77777777" w:rsidR="00351C49" w:rsidRDefault="00351C49" w:rsidP="00351C49"/>
    <w:p w14:paraId="20BA2346" w14:textId="2844C2DD" w:rsidR="00351C49" w:rsidRDefault="00351C49" w:rsidP="006057BE">
      <w:pPr>
        <w:ind w:firstLine="720"/>
      </w:pPr>
      <w:r>
        <w:t>O tempo total de movimentação e o tempo total parado são calculados a partir das coordenadas do ponto central do animal (</w:t>
      </w:r>
      <m:oMath>
        <m:r>
          <w:rPr>
            <w:rFonts w:ascii="Cambria Math" w:hAnsi="Cambria Math"/>
          </w:rPr>
          <m:t>C=</m:t>
        </m:r>
        <m:d>
          <m:dPr>
            <m:ctrlPr>
              <w:rPr>
                <w:rFonts w:ascii="Cambria Math" w:hAnsi="Cambria Math"/>
                <w:i/>
              </w:rPr>
            </m:ctrlPr>
          </m:dPr>
          <m:e>
            <m:r>
              <w:rPr>
                <w:rFonts w:ascii="Cambria Math" w:hAnsi="Cambria Math"/>
              </w:rPr>
              <m:t>x,y</m:t>
            </m:r>
          </m:e>
        </m:d>
      </m:oMath>
      <w:r>
        <w:t>), registradas ao longo do experimento. O primeiro passo é computar o deslocamento instantâneo (</w:t>
      </w:r>
      <m:oMath>
        <m:r>
          <w:rPr>
            <w:rFonts w:ascii="Cambria Math" w:hAnsi="Cambria Math"/>
          </w:rPr>
          <m:t>dt</m:t>
        </m:r>
      </m:oMath>
      <w:r>
        <w:t xml:space="preserve">​), ou seja, a distância percorrida entre quadros consecutivos. Para um quadro </w:t>
      </w:r>
      <m:oMath>
        <m:r>
          <w:rPr>
            <w:rFonts w:ascii="Cambria Math" w:hAnsi="Cambria Math"/>
          </w:rPr>
          <m:t>t</m:t>
        </m:r>
      </m:oMath>
      <w:r>
        <w:t xml:space="preserve">, o deslocamento </w:t>
      </w:r>
      <m:oMath>
        <m:r>
          <w:rPr>
            <w:rFonts w:ascii="Cambria Math" w:hAnsi="Cambria Math"/>
          </w:rPr>
          <m:t>dt</m:t>
        </m:r>
      </m:oMath>
      <w:r>
        <w:t>​ é a distância Euclidiana entre o centro no quadro atual (</w:t>
      </w:r>
      <m:oMath>
        <m:r>
          <w:rPr>
            <w:rFonts w:ascii="Cambria Math" w:hAnsi="Cambria Math"/>
          </w:rPr>
          <m:t>Ct</m:t>
        </m:r>
      </m:oMath>
      <w:r>
        <w:t>​) e no quadro anterior (</w:t>
      </w:r>
      <m:oMath>
        <m:r>
          <w:rPr>
            <w:rFonts w:ascii="Cambria Math" w:hAnsi="Cambria Math"/>
          </w:rPr>
          <m:t>Ct-1</m:t>
        </m:r>
      </m:oMath>
      <w:r>
        <w:t>):</w:t>
      </w:r>
    </w:p>
    <w:p w14:paraId="1FE7F878" w14:textId="77777777" w:rsidR="00351C49" w:rsidRDefault="00351C49" w:rsidP="00351C49"/>
    <w:p w14:paraId="2133C460" w14:textId="3876250F" w:rsidR="00351C49" w:rsidRDefault="008A5BC3" w:rsidP="00351C49">
      <m:oMathPara>
        <m:oMath>
          <m:sSub>
            <m:sSubPr>
              <m:ctrlPr>
                <w:rPr>
                  <w:rFonts w:ascii="Cambria Math" w:hAnsi="Cambria Math"/>
                  <w:i/>
                </w:rPr>
              </m:ctrlPr>
            </m:sSubPr>
            <m:e>
              <m:r>
                <w:rPr>
                  <w:rFonts w:ascii="Cambria Math" w:hAnsi="Cambria Math"/>
                </w:rPr>
                <m:t>d</m:t>
              </m:r>
            </m:e>
            <m:sub>
              <m:r>
                <w:rPr>
                  <w:rFonts w:ascii="Cambria Math" w:hAnsi="Cambria Math"/>
                </w:rPr>
                <m:t>t</m:t>
              </m:r>
            </m:sub>
          </m:sSub>
          <m:r>
            <w:rPr>
              <w:rFonts w:ascii="Cambria Math" w:hAnsi="Cambria Math"/>
            </w:rPr>
            <m:t xml:space="preserve">= </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x</m:t>
                          </m:r>
                        </m:e>
                        <m:sub>
                          <m:d>
                            <m:dPr>
                              <m:begChr m:val="{"/>
                              <m:endChr m:val="}"/>
                              <m:ctrlPr>
                                <w:rPr>
                                  <w:rFonts w:ascii="Cambria Math" w:hAnsi="Cambria Math"/>
                                  <w:i/>
                                </w:rPr>
                              </m:ctrlPr>
                            </m:dPr>
                            <m:e>
                              <m:r>
                                <w:rPr>
                                  <w:rFonts w:ascii="Cambria Math" w:hAnsi="Cambria Math"/>
                                </w:rPr>
                                <m:t>t-1</m:t>
                              </m:r>
                            </m:e>
                          </m:d>
                        </m:sub>
                      </m:sSub>
                    </m:e>
                  </m:d>
                </m:e>
                <m:sup>
                  <m:r>
                    <w:rPr>
                      <w:rFonts w:ascii="Cambria Math" w:hAnsi="Cambria Math"/>
                    </w:rPr>
                    <m:t>2</m:t>
                  </m:r>
                </m:sup>
              </m:sSup>
              <m:r>
                <w:rPr>
                  <w:rFonts w:ascii="Cambria Math" w:hAnsi="Cambria Math"/>
                </w:rPr>
                <m:t xml:space="preserve">+ </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y</m:t>
                          </m:r>
                        </m:e>
                        <m:sub>
                          <m:d>
                            <m:dPr>
                              <m:begChr m:val="{"/>
                              <m:endChr m:val="}"/>
                              <m:ctrlPr>
                                <w:rPr>
                                  <w:rFonts w:ascii="Cambria Math" w:hAnsi="Cambria Math"/>
                                  <w:i/>
                                </w:rPr>
                              </m:ctrlPr>
                            </m:dPr>
                            <m:e>
                              <m:r>
                                <w:rPr>
                                  <w:rFonts w:ascii="Cambria Math" w:hAnsi="Cambria Math"/>
                                </w:rPr>
                                <m:t>t-1</m:t>
                              </m:r>
                            </m:e>
                          </m:d>
                        </m:sub>
                      </m:sSub>
                    </m:e>
                  </m:d>
                </m:e>
                <m:sup>
                  <m:r>
                    <w:rPr>
                      <w:rFonts w:ascii="Cambria Math" w:hAnsi="Cambria Math"/>
                    </w:rPr>
                    <m:t>2</m:t>
                  </m:r>
                </m:sup>
              </m:sSup>
            </m:e>
          </m:rad>
        </m:oMath>
      </m:oMathPara>
    </w:p>
    <w:p w14:paraId="5A0153DE" w14:textId="77777777" w:rsidR="00351C49" w:rsidRDefault="00351C49" w:rsidP="00351C49"/>
    <w:p w14:paraId="64D0E7A6" w14:textId="31763F02" w:rsidR="00351C49" w:rsidRDefault="00351C49" w:rsidP="00351C49">
      <w:pPr>
        <w:ind w:firstLine="720"/>
      </w:pPr>
      <w:r>
        <w:t>Esse deslocamento, medido em pixels, é então convertido para centímetros (cm) usando uma taxa de calibração (pixels/cm) pré-definida. Para excluir artefatos de movimento (</w:t>
      </w:r>
      <w:proofErr w:type="spellStart"/>
      <w:r>
        <w:t>ex</w:t>
      </w:r>
      <w:proofErr w:type="spellEnd"/>
      <w:r>
        <w:t>: pequenas vibrações da câmera ou do animal) que poderiam ser contados como locomoção real, um limiar de movimento (</w:t>
      </w:r>
      <m:oMath>
        <m:r>
          <w:rPr>
            <w:rFonts w:ascii="Cambria Math" w:hAnsi="Cambria Math"/>
          </w:rPr>
          <m:t>Tmov</m:t>
        </m:r>
      </m:oMath>
      <w:r>
        <w:t xml:space="preserve">​) é aplicado. Um quadro é classificado como "em movimento" apenas se o deslocamento exceder 0,0267 cm/frame (equivalente a ≈ 0,8 cm/s em um vídeo de 30 </w:t>
      </w:r>
      <w:proofErr w:type="spellStart"/>
      <w:r>
        <w:t>fps</w:t>
      </w:r>
      <w:proofErr w:type="spellEnd"/>
      <w:r>
        <w:t>).</w:t>
      </w:r>
    </w:p>
    <w:p w14:paraId="52571009" w14:textId="421EBD4D" w:rsidR="00351C49" w:rsidRDefault="00351C49" w:rsidP="006057BE">
      <w:pPr>
        <w:ind w:firstLine="720"/>
      </w:pPr>
      <w:r>
        <w:t>A partir dessa classificação quadro-a-quadro, as métricas cumulativas são calculadas. A Distância Total Percorrida (cm) é determinada pelo deslocamento acumulado, ou seja, a soma de todos os deslocamentos instantâneos (</w:t>
      </w:r>
      <m:oMath>
        <m:r>
          <w:rPr>
            <w:rFonts w:ascii="Cambria Math" w:hAnsi="Cambria Math"/>
          </w:rPr>
          <m:t>dt</m:t>
        </m:r>
      </m:oMath>
      <w:r>
        <w:t xml:space="preserve">​) convertidos para cm ao longo da sessão inteira: </w:t>
      </w:r>
      <m:oMath>
        <m:r>
          <w:rPr>
            <w:rFonts w:ascii="Cambria Math" w:hAnsi="Cambria Math"/>
          </w:rPr>
          <m:t>Dis</m:t>
        </m:r>
        <m:sSub>
          <m:sSubPr>
            <m:ctrlPr>
              <w:rPr>
                <w:rFonts w:ascii="Cambria Math" w:hAnsi="Cambria Math"/>
                <w:i/>
              </w:rPr>
            </m:ctrlPr>
          </m:sSubPr>
          <m:e>
            <m:r>
              <w:rPr>
                <w:rFonts w:ascii="Cambria Math" w:hAnsi="Cambria Math"/>
              </w:rPr>
              <m:t>t</m:t>
            </m:r>
          </m:e>
          <m:sub>
            <m:r>
              <w:rPr>
                <w:rFonts w:ascii="Cambria Math" w:hAnsi="Cambria Math"/>
              </w:rPr>
              <m:t>Total</m:t>
            </m:r>
          </m:sub>
        </m:sSub>
        <m:r>
          <w:rPr>
            <w:rFonts w:ascii="Cambria Math" w:hAnsi="Cambria Math"/>
          </w:rPr>
          <m:t>= soma</m:t>
        </m:r>
        <m:d>
          <m:dPr>
            <m:ctrlPr>
              <w:rPr>
                <w:rFonts w:ascii="Cambria Math" w:hAnsi="Cambria Math"/>
                <w:i/>
              </w:rPr>
            </m:ctrlPr>
          </m:dPr>
          <m:e>
            <m:sSub>
              <m:sSubPr>
                <m:ctrlPr>
                  <w:rPr>
                    <w:rFonts w:ascii="Cambria Math" w:hAnsi="Cambria Math"/>
                    <w:i/>
                  </w:rPr>
                </m:ctrlPr>
              </m:sSubPr>
              <m:e>
                <m:r>
                  <w:rPr>
                    <w:rFonts w:ascii="Cambria Math" w:hAnsi="Cambria Math"/>
                  </w:rPr>
                  <m:t>d</m:t>
                </m:r>
              </m:e>
              <m:sub>
                <m:sSub>
                  <m:sSubPr>
                    <m:ctrlPr>
                      <w:rPr>
                        <w:rFonts w:ascii="Cambria Math" w:hAnsi="Cambria Math"/>
                        <w:i/>
                      </w:rPr>
                    </m:ctrlPr>
                  </m:sSubPr>
                  <m:e>
                    <m:r>
                      <w:rPr>
                        <w:rFonts w:ascii="Cambria Math" w:hAnsi="Cambria Math"/>
                      </w:rPr>
                      <m:t>t</m:t>
                    </m:r>
                  </m:e>
                  <m:sub>
                    <m:r>
                      <w:rPr>
                        <w:rFonts w:ascii="Cambria Math" w:hAnsi="Cambria Math"/>
                      </w:rPr>
                      <m:t>cm</m:t>
                    </m:r>
                  </m:sub>
                </m:sSub>
              </m:sub>
            </m:sSub>
          </m:e>
        </m:d>
        <m:r>
          <w:rPr>
            <w:rFonts w:ascii="Cambria Math" w:hAnsi="Cambria Math"/>
          </w:rPr>
          <m:t>.</m:t>
        </m:r>
      </m:oMath>
      <w:r>
        <w:t xml:space="preserve"> O </w:t>
      </w:r>
      <m:oMath>
        <m:r>
          <w:rPr>
            <w:rFonts w:ascii="Cambria Math" w:hAnsi="Cambria Math"/>
          </w:rPr>
          <m:t>Tempo Total de</m:t>
        </m:r>
      </m:oMath>
      <w:r>
        <w:t xml:space="preserve"> </w:t>
      </w:r>
      <m:oMath>
        <m:r>
          <w:rPr>
            <w:rFonts w:ascii="Cambria Math" w:hAnsi="Cambria Math"/>
          </w:rPr>
          <m:t xml:space="preserve">Movimentação </m:t>
        </m:r>
        <m:d>
          <m:dPr>
            <m:ctrlPr>
              <w:rPr>
                <w:rFonts w:ascii="Cambria Math" w:hAnsi="Cambria Math"/>
                <w:i/>
              </w:rPr>
            </m:ctrlPr>
          </m:dPr>
          <m:e>
            <m:r>
              <w:rPr>
                <w:rFonts w:ascii="Cambria Math" w:hAnsi="Cambria Math"/>
              </w:rPr>
              <m:t>s</m:t>
            </m:r>
          </m:e>
        </m:d>
      </m:oMath>
      <w:r>
        <w:t xml:space="preserve"> é a contagem de todos os quadros classificados como "em movimento" multiplicada pelo tempo por quadro (ex: </w:t>
      </w:r>
      <m:oMath>
        <m:f>
          <m:fPr>
            <m:ctrlPr>
              <w:rPr>
                <w:rFonts w:ascii="Cambria Math" w:hAnsi="Cambria Math"/>
                <w:i/>
              </w:rPr>
            </m:ctrlPr>
          </m:fPr>
          <m:num>
            <m:r>
              <w:rPr>
                <w:rFonts w:ascii="Cambria Math" w:hAnsi="Cambria Math"/>
              </w:rPr>
              <m:t>1</m:t>
            </m:r>
          </m:num>
          <m:den>
            <m:r>
              <w:rPr>
                <w:rFonts w:ascii="Cambria Math" w:hAnsi="Cambria Math"/>
              </w:rPr>
              <m:t>30s</m:t>
            </m:r>
          </m:den>
        </m:f>
      </m:oMath>
      <w:r>
        <w:t xml:space="preserve">). Similarmente, o </w:t>
      </w:r>
      <m:oMath>
        <m:r>
          <w:rPr>
            <w:rFonts w:ascii="Cambria Math" w:hAnsi="Cambria Math"/>
          </w:rPr>
          <m:t xml:space="preserve">Tempo Total Parado </m:t>
        </m:r>
        <m:d>
          <m:dPr>
            <m:ctrlPr>
              <w:rPr>
                <w:rFonts w:ascii="Cambria Math" w:hAnsi="Cambria Math"/>
                <w:i/>
              </w:rPr>
            </m:ctrlPr>
          </m:dPr>
          <m:e>
            <m:r>
              <w:rPr>
                <w:rFonts w:ascii="Cambria Math" w:hAnsi="Cambria Math"/>
              </w:rPr>
              <m:t>s</m:t>
            </m:r>
          </m:e>
        </m:d>
      </m:oMath>
      <w:r>
        <w:t xml:space="preserve">é a soma dos quadros onde </w:t>
      </w:r>
      <m:oMath>
        <m:r>
          <w:rPr>
            <w:rFonts w:ascii="Cambria Math" w:hAnsi="Cambria Math"/>
          </w:rPr>
          <m:t>dt</m:t>
        </m:r>
      </m:oMath>
      <w:r>
        <w:t xml:space="preserve">​ foi igual ou inferior ao limiar </w:t>
      </w:r>
      <m:oMath>
        <m:r>
          <w:rPr>
            <w:rFonts w:ascii="Cambria Math" w:hAnsi="Cambria Math"/>
          </w:rPr>
          <m:t>Tmov</m:t>
        </m:r>
      </m:oMath>
      <w:r>
        <w:t>, multiplicada pelo tempo por quadro.</w:t>
      </w:r>
    </w:p>
    <w:p w14:paraId="710F1371" w14:textId="4FDEF49A" w:rsidR="00351C49" w:rsidRDefault="00351C49" w:rsidP="006057BE">
      <w:pPr>
        <w:ind w:firstLine="720"/>
      </w:pPr>
      <w:r>
        <w:t>Por fim, a velocidade média é calculada. Primeiro, a velocidade instantânea (</w:t>
      </w:r>
      <m:oMath>
        <m:r>
          <w:rPr>
            <w:rFonts w:ascii="Cambria Math" w:hAnsi="Cambria Math"/>
          </w:rPr>
          <m:t>vt</m:t>
        </m:r>
      </m:oMath>
      <w:r>
        <w:t>​) é determinada para cada quadro, dividindo-se o deslocamento (em cm) pelo tempo transcorrido por quadro (</w:t>
      </w:r>
      <m:oMath>
        <m:r>
          <w:rPr>
            <w:rFonts w:ascii="Cambria Math" w:hAnsi="Cambria Math"/>
          </w:rPr>
          <m:t>Δt, ex: 0,0333s</m:t>
        </m:r>
      </m:oMath>
      <w:r>
        <w:t>):</w:t>
      </w:r>
    </w:p>
    <w:p w14:paraId="6A69BEA6" w14:textId="77777777" w:rsidR="00351C49" w:rsidRDefault="00351C49" w:rsidP="00351C49"/>
    <w:p w14:paraId="75C3D605" w14:textId="0B575C9B" w:rsidR="00351C49" w:rsidRDefault="008A5BC3" w:rsidP="00351C49">
      <m:oMathPara>
        <m:oMath>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sSub>
                    <m:sSubPr>
                      <m:ctrlPr>
                        <w:rPr>
                          <w:rFonts w:ascii="Cambria Math" w:hAnsi="Cambria Math"/>
                          <w:i/>
                        </w:rPr>
                      </m:ctrlPr>
                    </m:sSubPr>
                    <m:e>
                      <m:r>
                        <w:rPr>
                          <w:rFonts w:ascii="Cambria Math" w:hAnsi="Cambria Math"/>
                        </w:rPr>
                        <m:t>t</m:t>
                      </m:r>
                    </m:e>
                    <m:sub>
                      <m:r>
                        <w:rPr>
                          <w:rFonts w:ascii="Cambria Math" w:hAnsi="Cambria Math"/>
                        </w:rPr>
                        <m:t>cm</m:t>
                      </m:r>
                    </m:sub>
                  </m:sSub>
                </m:sub>
              </m:sSub>
            </m:num>
            <m:den>
              <m:r>
                <w:rPr>
                  <w:rFonts w:ascii="Cambria Math" w:hAnsi="Cambria Math"/>
                </w:rPr>
                <m:t>Δt</m:t>
              </m:r>
            </m:den>
          </m:f>
        </m:oMath>
      </m:oMathPara>
    </w:p>
    <w:p w14:paraId="74F67759" w14:textId="77777777" w:rsidR="00351C49" w:rsidRDefault="00351C49" w:rsidP="00351C49"/>
    <w:p w14:paraId="2E4D8326" w14:textId="197CD601" w:rsidR="00351C49" w:rsidRDefault="00351C49" w:rsidP="00E83B86">
      <w:pPr>
        <w:ind w:firstLine="720"/>
      </w:pPr>
      <w:r>
        <w:t xml:space="preserve">A Velocidade Média (cm/s) do animal durante todo o experimento é então calculada como a média aritmética de todas as velocidades instantâneas registradas: </w:t>
      </w:r>
      <m:oMath>
        <m:sSub>
          <m:sSubPr>
            <m:ctrlPr>
              <w:rPr>
                <w:rFonts w:ascii="Cambria Math" w:hAnsi="Cambria Math"/>
                <w:i/>
              </w:rPr>
            </m:ctrlPr>
          </m:sSubPr>
          <m:e>
            <m:r>
              <w:rPr>
                <w:rFonts w:ascii="Cambria Math" w:hAnsi="Cambria Math"/>
              </w:rPr>
              <m:t>V</m:t>
            </m:r>
          </m:e>
          <m:sub>
            <m:r>
              <w:rPr>
                <w:rFonts w:ascii="Cambria Math" w:hAnsi="Cambria Math"/>
              </w:rPr>
              <m:t>media</m:t>
            </m:r>
          </m:sub>
        </m:sSub>
        <m:r>
          <w:rPr>
            <w:rFonts w:ascii="Cambria Math" w:hAnsi="Cambria Math"/>
          </w:rPr>
          <m:t>=</m:t>
        </m:r>
        <m:f>
          <m:fPr>
            <m:ctrlPr>
              <w:rPr>
                <w:rFonts w:ascii="Cambria Math" w:hAnsi="Cambria Math"/>
                <w:i/>
              </w:rPr>
            </m:ctrlPr>
          </m:fPr>
          <m:num>
            <m:r>
              <w:rPr>
                <w:rFonts w:ascii="Cambria Math" w:hAnsi="Cambria Math"/>
              </w:rPr>
              <m:t>soma</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t</m:t>
                    </m:r>
                  </m:sub>
                </m:sSub>
              </m:e>
            </m:d>
          </m:num>
          <m:den>
            <m:sSub>
              <m:sSubPr>
                <m:ctrlPr>
                  <w:rPr>
                    <w:rFonts w:ascii="Cambria Math" w:hAnsi="Cambria Math"/>
                    <w:i/>
                  </w:rPr>
                </m:ctrlPr>
              </m:sSubPr>
              <m:e>
                <m:r>
                  <w:rPr>
                    <w:rFonts w:ascii="Cambria Math" w:hAnsi="Cambria Math"/>
                  </w:rPr>
                  <m:t>N</m:t>
                </m:r>
              </m:e>
              <m:sub>
                <m:r>
                  <w:rPr>
                    <w:rFonts w:ascii="Cambria Math" w:hAnsi="Cambria Math"/>
                  </w:rPr>
                  <m:t>quadro</m:t>
                </m:r>
                <m:sSub>
                  <m:sSubPr>
                    <m:ctrlPr>
                      <w:rPr>
                        <w:rFonts w:ascii="Cambria Math" w:hAnsi="Cambria Math"/>
                        <w:i/>
                      </w:rPr>
                    </m:ctrlPr>
                  </m:sSubPr>
                  <m:e>
                    <m:r>
                      <w:rPr>
                        <w:rFonts w:ascii="Cambria Math" w:hAnsi="Cambria Math"/>
                      </w:rPr>
                      <m:t>s</m:t>
                    </m:r>
                  </m:e>
                  <m:sub>
                    <m:r>
                      <w:rPr>
                        <w:rFonts w:ascii="Cambria Math" w:hAnsi="Cambria Math"/>
                      </w:rPr>
                      <m:t>totais</m:t>
                    </m:r>
                  </m:sub>
                </m:sSub>
              </m:sub>
            </m:sSub>
          </m:den>
        </m:f>
        <m:r>
          <w:rPr>
            <w:rFonts w:ascii="Cambria Math" w:hAnsi="Cambria Math"/>
          </w:rPr>
          <m:t>.</m:t>
        </m:r>
      </m:oMath>
    </w:p>
    <w:p w14:paraId="6EAD1F58" w14:textId="77777777" w:rsidR="00351C49" w:rsidRDefault="00351C49" w:rsidP="00351C49"/>
    <w:p w14:paraId="322195E2" w14:textId="02986B4F" w:rsidR="0006726C" w:rsidRDefault="00351C49" w:rsidP="006057BE">
      <w:pPr>
        <w:ind w:firstLine="720"/>
      </w:pPr>
      <w:r>
        <w:t>Essas métricas são então utilizadas para a análise da investigação social e comportamento geral do animal durante a tarefa.</w:t>
      </w:r>
    </w:p>
    <w:p w14:paraId="3643C6F3" w14:textId="3090E7F0" w:rsidR="0006726C" w:rsidRDefault="0006726C" w:rsidP="0006726C">
      <w:r>
        <w:tab/>
      </w:r>
    </w:p>
    <w:p w14:paraId="27967B8D" w14:textId="77777777" w:rsidR="0006726C" w:rsidRPr="0006726C" w:rsidRDefault="0006726C" w:rsidP="0006726C"/>
    <w:p w14:paraId="7A35AF02" w14:textId="21B2D9AC" w:rsidR="0079009F" w:rsidRDefault="00457A3D" w:rsidP="008C05D2">
      <w:pPr>
        <w:pStyle w:val="Ttulo1"/>
      </w:pPr>
      <w:r>
        <w:t>RESULTADOS</w:t>
      </w:r>
    </w:p>
    <w:p w14:paraId="655562AA" w14:textId="77777777" w:rsidR="00260BB1" w:rsidRPr="00260BB1" w:rsidRDefault="00260BB1" w:rsidP="00260BB1"/>
    <w:p w14:paraId="6B93ADA7" w14:textId="583E895E" w:rsidR="001B2C3E" w:rsidRDefault="001B2C3E" w:rsidP="00351C49">
      <w:pPr>
        <w:pStyle w:val="Ttulo2"/>
      </w:pPr>
      <w:r w:rsidRPr="001B2C3E">
        <w:t>Os animais são capazes de expressar memória social no contexto A, em amb</w:t>
      </w:r>
      <w:r>
        <w:t>o</w:t>
      </w:r>
      <w:r w:rsidRPr="001B2C3E">
        <w:t xml:space="preserve">s </w:t>
      </w:r>
      <w:r>
        <w:t>métodos</w:t>
      </w:r>
      <w:r w:rsidRPr="001B2C3E">
        <w:t xml:space="preserve"> de análise</w:t>
      </w:r>
    </w:p>
    <w:p w14:paraId="3B13C8BD" w14:textId="6958373D" w:rsidR="00166C99" w:rsidRPr="00166C99" w:rsidRDefault="00166C99" w:rsidP="00166C99">
      <w:pPr>
        <w:ind w:firstLine="720"/>
      </w:pPr>
      <w:r w:rsidRPr="00166C99">
        <w:t>A capacidade de reconhecimento social dos animais no Contexto A foi avaliada por meio de d</w:t>
      </w:r>
      <w:r w:rsidR="00C96804">
        <w:t xml:space="preserve">ois métodos de análise </w:t>
      </w:r>
      <w:r w:rsidRPr="00166C99">
        <w:t xml:space="preserve">comportamentais distintas, </w:t>
      </w:r>
      <w:r w:rsidR="00C96804">
        <w:t>sendo um</w:t>
      </w:r>
      <w:r w:rsidRPr="00166C99">
        <w:t xml:space="preserve"> método manual </w:t>
      </w:r>
      <w:r w:rsidR="00C96804">
        <w:t>e outro</w:t>
      </w:r>
      <w:r w:rsidRPr="00166C99">
        <w:t xml:space="preserve"> automático (BY). Os resultados de ambas as abordagens convergem para indicar, de forma robusta, a presença de memória social. A evidência primária reside na diminuição do tempo de investigação durante a fase de teste em comparação com a fase de treino, um comportamento indicativo de reconhecimento do animal-estímulo familiar.</w:t>
      </w:r>
    </w:p>
    <w:p w14:paraId="4A122C94" w14:textId="4AAF2BEA" w:rsidR="00166C99" w:rsidRPr="00166C99" w:rsidRDefault="00166C99" w:rsidP="00166C99">
      <w:pPr>
        <w:ind w:firstLine="720"/>
      </w:pPr>
      <w:r w:rsidRPr="00166C99">
        <w:t xml:space="preserve">A análise do tempo de investigação (Gráficos C e D) revela uma redução estatisticamente significativa entre as fases. Pelo método manual, o tempo de exploração no teste foi significativamente menor que no treino (teste t pareado: t(11)=4,209; p=0,0015). Este achado foi </w:t>
      </w:r>
      <w:r w:rsidR="004E5005">
        <w:t>também encontrado quando realizado</w:t>
      </w:r>
      <w:r w:rsidRPr="00166C99">
        <w:t xml:space="preserve"> pela análise automática, que demonstrou uma diferença ainda mais pronunciada (t(11)=4,785; p=0,0006). Esta diminuição do interesse exploratório na segunda exposição ao mesmo estímulo social é um marcador comportamental clássico para a evocação de memória de reconhecimento.</w:t>
      </w:r>
    </w:p>
    <w:p w14:paraId="7228B8E2" w14:textId="005316E1" w:rsidR="00166C99" w:rsidRPr="00166C99" w:rsidRDefault="00A62367" w:rsidP="00166C99">
      <w:pPr>
        <w:ind w:firstLine="720"/>
      </w:pPr>
      <w:r>
        <w:t xml:space="preserve">Essa diferença também é revelada quando o índice de reconhecimento social (IRS) é calculado </w:t>
      </w:r>
      <w:r w:rsidR="00166C99" w:rsidRPr="00166C99">
        <w:t xml:space="preserve">(Gráficos A e B). Em consonância com os dados de tempo de investigação, o índice médio em ambas as análises foi significativamente superior ao valor teórico de zero, que representa a </w:t>
      </w:r>
      <w:r w:rsidR="004E5005">
        <w:t>presença</w:t>
      </w:r>
      <w:r w:rsidR="00166C99" w:rsidRPr="00166C99">
        <w:t xml:space="preserve"> de memória. A análise manual resultou em um índice significativamente positivo (teste t de uma amostra: t(11)=4,374; p=0,0011), assim como a análise automática BY (t(11)=4,748; p=0,0006). Em conjunto, a convergência dos resultados obtidos por diferentes métricas e métodos de quantificação sustenta solidamente a conclusão de que os animais expressaram memória social no Contexto A.</w:t>
      </w:r>
    </w:p>
    <w:p w14:paraId="4D4C3A45" w14:textId="6DACA342" w:rsidR="00BF12AF" w:rsidRDefault="00842CE4" w:rsidP="004E5005">
      <w:pPr>
        <w:keepNext/>
        <w:jc w:val="center"/>
      </w:pPr>
      <w:r>
        <w:rPr>
          <w:noProof/>
        </w:rPr>
        <w:lastRenderedPageBreak/>
        <w:drawing>
          <wp:inline distT="0" distB="0" distL="0" distR="0" wp14:anchorId="2C94994A" wp14:editId="4AE72D14">
            <wp:extent cx="4840207" cy="5343525"/>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08667" cy="5419104"/>
                    </a:xfrm>
                    <a:prstGeom prst="rect">
                      <a:avLst/>
                    </a:prstGeom>
                    <a:noFill/>
                    <a:ln>
                      <a:noFill/>
                    </a:ln>
                  </pic:spPr>
                </pic:pic>
              </a:graphicData>
            </a:graphic>
          </wp:inline>
        </w:drawing>
      </w:r>
    </w:p>
    <w:p w14:paraId="3A1647B9" w14:textId="2CF46B59" w:rsidR="00C96804" w:rsidRPr="00C96804" w:rsidRDefault="00C96804" w:rsidP="00C96804">
      <w:pPr>
        <w:keepNext/>
        <w:rPr>
          <w:b/>
          <w:bCs/>
          <w:sz w:val="20"/>
          <w:szCs w:val="20"/>
        </w:rPr>
      </w:pPr>
      <w:r w:rsidRPr="00C96804">
        <w:rPr>
          <w:b/>
          <w:bCs/>
          <w:sz w:val="20"/>
          <w:szCs w:val="20"/>
        </w:rPr>
        <w:t>Figura X: Expressão de memória social no Contexto A.</w:t>
      </w:r>
    </w:p>
    <w:p w14:paraId="130000A8" w14:textId="78FC5DB4" w:rsidR="004E5005" w:rsidRDefault="00C96804" w:rsidP="00C96804">
      <w:pPr>
        <w:keepNext/>
        <w:rPr>
          <w:sz w:val="20"/>
          <w:szCs w:val="20"/>
        </w:rPr>
      </w:pPr>
      <w:r w:rsidRPr="00C96804">
        <w:rPr>
          <w:sz w:val="20"/>
          <w:szCs w:val="20"/>
        </w:rPr>
        <w:t xml:space="preserve">Gráficos superiores representam o índice de reconhecimento social, obtido pela análise automática (A) e manual (B). Cada ponto representa um animal individual, com a linha contínua indicando a média do grupo. A linha pontilhada em zero corresponde ao nível do acaso. Gráficos inferiores apresentam o tempo total de investigação (em segundos) durante a fase de treino (vermelho) e teste (azul), analisado pelo método automático (C) e manual (D). As barras indicam a média + EPM, com os pontos individuais sobrepostos. Os asteriscos denotam a significância estatística (**p &lt; 0,01; ***p &lt; 0,001). As análises foram realizadas utilizando o teste t de </w:t>
      </w:r>
      <w:proofErr w:type="spellStart"/>
      <w:r w:rsidRPr="00C96804">
        <w:rPr>
          <w:sz w:val="20"/>
          <w:szCs w:val="20"/>
        </w:rPr>
        <w:t>Student</w:t>
      </w:r>
      <w:proofErr w:type="spellEnd"/>
      <w:r w:rsidR="00A62367">
        <w:rPr>
          <w:sz w:val="20"/>
          <w:szCs w:val="20"/>
        </w:rPr>
        <w:t xml:space="preserve"> (Uma amostra para o IRS comparando com o valor hipotético de zero)</w:t>
      </w:r>
      <w:r w:rsidRPr="00C96804">
        <w:rPr>
          <w:sz w:val="20"/>
          <w:szCs w:val="20"/>
        </w:rPr>
        <w:t>.</w:t>
      </w:r>
    </w:p>
    <w:p w14:paraId="5F57D135" w14:textId="77777777" w:rsidR="00C96804" w:rsidRDefault="00C96804" w:rsidP="001B2C3E">
      <w:pPr>
        <w:rPr>
          <w:sz w:val="20"/>
          <w:szCs w:val="20"/>
        </w:rPr>
      </w:pPr>
    </w:p>
    <w:p w14:paraId="2A47C824" w14:textId="77777777" w:rsidR="00C96804" w:rsidRDefault="00C96804" w:rsidP="001B2C3E">
      <w:pPr>
        <w:rPr>
          <w:sz w:val="20"/>
          <w:szCs w:val="20"/>
        </w:rPr>
      </w:pPr>
    </w:p>
    <w:p w14:paraId="0A542D3C" w14:textId="77777777" w:rsidR="00C96804" w:rsidRDefault="00C96804" w:rsidP="001B2C3E">
      <w:pPr>
        <w:rPr>
          <w:sz w:val="20"/>
          <w:szCs w:val="20"/>
        </w:rPr>
      </w:pPr>
    </w:p>
    <w:p w14:paraId="1808CE9A" w14:textId="5A580A32" w:rsidR="001B2C3E" w:rsidRDefault="001B2C3E" w:rsidP="00351C49">
      <w:pPr>
        <w:pStyle w:val="Ttulo2"/>
      </w:pPr>
      <w:r w:rsidRPr="001B2C3E">
        <w:lastRenderedPageBreak/>
        <w:t xml:space="preserve">Os animais são capazes de expressar memória social no contexto </w:t>
      </w:r>
      <w:r>
        <w:t>B</w:t>
      </w:r>
      <w:r w:rsidRPr="001B2C3E">
        <w:t xml:space="preserve">, em </w:t>
      </w:r>
      <w:r>
        <w:t>ambos</w:t>
      </w:r>
      <w:r w:rsidRPr="001B2C3E">
        <w:t xml:space="preserve"> </w:t>
      </w:r>
      <w:r>
        <w:t>métodos</w:t>
      </w:r>
      <w:r w:rsidRPr="001B2C3E">
        <w:t xml:space="preserve"> de análise</w:t>
      </w:r>
    </w:p>
    <w:p w14:paraId="32CB1384" w14:textId="30A64011" w:rsidR="00166C99" w:rsidRDefault="00A62367" w:rsidP="00C96804">
      <w:pPr>
        <w:ind w:firstLine="720"/>
      </w:pPr>
      <w:r>
        <w:t>Agora a</w:t>
      </w:r>
      <w:r w:rsidR="00166C99">
        <w:t xml:space="preserve"> investigação da memória social </w:t>
      </w:r>
      <w:r>
        <w:t xml:space="preserve">foi realizada </w:t>
      </w:r>
      <w:r w:rsidR="00166C99">
        <w:t xml:space="preserve">no Contexto B por meio de utilizando </w:t>
      </w:r>
      <w:r>
        <w:t>as mesmas métricas aplicadas ao contexto A</w:t>
      </w:r>
      <w:r w:rsidR="00166C99">
        <w:t>. Os resultados obtidos de forma independente por ambas as abordagens indicam consistentemente que os animais foram capazes de expressar memória de reconhecimento</w:t>
      </w:r>
      <w:r>
        <w:t xml:space="preserve"> também neste contexto</w:t>
      </w:r>
      <w:r w:rsidR="00166C99">
        <w:t xml:space="preserve">. </w:t>
      </w:r>
    </w:p>
    <w:p w14:paraId="49CC20C3" w14:textId="74F48A23" w:rsidR="00166C99" w:rsidRDefault="00166C99" w:rsidP="00166C99">
      <w:pPr>
        <w:ind w:firstLine="720"/>
      </w:pPr>
      <w:r>
        <w:t xml:space="preserve">A análise do tempo de investigação (Gráficos C e D) demonstrou uma redução estatisticamente significativa na exploração do animal-estímulo da fase de treino para a de teste. Na análise manual, essa diminuição foi significativa (teste t pareado: t(11)=2,595; p=0,0249). De forma similar, a análise automática (BY) corroborou este achado, confirmando que o tempo de investigação no teste foi significantemente menor (t(11)=2,271; p=0,0442). </w:t>
      </w:r>
    </w:p>
    <w:p w14:paraId="2B91A711" w14:textId="643F35EE" w:rsidR="00842CE4" w:rsidRDefault="00A62367" w:rsidP="00166C99">
      <w:pPr>
        <w:ind w:firstLine="720"/>
      </w:pPr>
      <w:r>
        <w:t xml:space="preserve">Essa diferença também é revelada quando o índice de reconhecimento social (IRS) é calculado </w:t>
      </w:r>
      <w:r w:rsidR="00166C99">
        <w:t xml:space="preserve">(Gráficos A e B). A análise manual revelou um índice médio significativamente positivo (t(11)=2,588; p=0,0252). Este resultado foi replicado pela análise automática, que também apontou um índice médio significantemente maior que o acaso (t(11)=2,401; p=0,0352). A convergência dos resultados, tanto na análise do tempo de exploração quanto no índice de reconhecimento, sustenta a conclusão de que os animais demonstraram memória social </w:t>
      </w:r>
      <w:r w:rsidR="00C65393">
        <w:t xml:space="preserve">também </w:t>
      </w:r>
      <w:r w:rsidR="00166C99">
        <w:t>no Contexto B.</w:t>
      </w:r>
    </w:p>
    <w:p w14:paraId="72BA7834" w14:textId="65548D92" w:rsidR="00842CE4" w:rsidRDefault="00842CE4" w:rsidP="00842CE4">
      <w:pPr>
        <w:jc w:val="center"/>
      </w:pPr>
      <w:r>
        <w:rPr>
          <w:noProof/>
        </w:rPr>
        <w:lastRenderedPageBreak/>
        <w:drawing>
          <wp:inline distT="0" distB="0" distL="0" distR="0" wp14:anchorId="3F91555F" wp14:editId="056D6D2B">
            <wp:extent cx="4878312" cy="5476875"/>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3114" t="5442" r="24559" b="11564"/>
                    <a:stretch/>
                  </pic:blipFill>
                  <pic:spPr bwMode="auto">
                    <a:xfrm>
                      <a:off x="0" y="0"/>
                      <a:ext cx="4935961" cy="5541597"/>
                    </a:xfrm>
                    <a:prstGeom prst="rect">
                      <a:avLst/>
                    </a:prstGeom>
                    <a:noFill/>
                    <a:ln>
                      <a:noFill/>
                    </a:ln>
                    <a:extLst>
                      <a:ext uri="{53640926-AAD7-44D8-BBD7-CCE9431645EC}">
                        <a14:shadowObscured xmlns:a14="http://schemas.microsoft.com/office/drawing/2010/main"/>
                      </a:ext>
                    </a:extLst>
                  </pic:spPr>
                </pic:pic>
              </a:graphicData>
            </a:graphic>
          </wp:inline>
        </w:drawing>
      </w:r>
    </w:p>
    <w:p w14:paraId="4235F02B" w14:textId="2D842743" w:rsidR="004E5005" w:rsidRPr="004E5005" w:rsidRDefault="004E5005" w:rsidP="004E5005">
      <w:pPr>
        <w:rPr>
          <w:b/>
          <w:bCs/>
          <w:i/>
          <w:iCs/>
          <w:sz w:val="20"/>
          <w:szCs w:val="20"/>
        </w:rPr>
      </w:pPr>
      <w:r w:rsidRPr="004E5005">
        <w:rPr>
          <w:b/>
          <w:bCs/>
          <w:i/>
          <w:iCs/>
          <w:sz w:val="20"/>
          <w:szCs w:val="20"/>
        </w:rPr>
        <w:t>Figura X: Expressão de memória social no Contexto B.</w:t>
      </w:r>
    </w:p>
    <w:p w14:paraId="77C80B2D" w14:textId="40D55A11" w:rsidR="004E5005" w:rsidRDefault="004E5005" w:rsidP="004E5005">
      <w:pPr>
        <w:rPr>
          <w:sz w:val="20"/>
          <w:szCs w:val="20"/>
        </w:rPr>
      </w:pPr>
      <w:r w:rsidRPr="004E5005">
        <w:rPr>
          <w:sz w:val="20"/>
          <w:szCs w:val="20"/>
        </w:rPr>
        <w:t xml:space="preserve">Gráficos superiores representam o índice de reconhecimento social, calculado através da análise automática (A) e manual (B). Cada ponto representa um animal individual, e a linha contínua indica a média do grupo. A linha pontilhada em zero representa o nível do acaso. Gráficos inferiores ilustram o tempo total de investigação (em segundos) durante a fase de treino (vermelho) e teste (azul), conforme quantificado pelo método automático (C) e manual (D). As barras representam a média + EPM, com os pontos individuais sobrepostos. Os asteriscos indicam diferença estatisticamente significativa (p &lt; 0,05). Os dados foram analisados utilizando teste t de </w:t>
      </w:r>
      <w:proofErr w:type="spellStart"/>
      <w:r w:rsidRPr="004E5005">
        <w:rPr>
          <w:sz w:val="20"/>
          <w:szCs w:val="20"/>
        </w:rPr>
        <w:t>Student</w:t>
      </w:r>
      <w:proofErr w:type="spellEnd"/>
      <w:r w:rsidR="00C65393">
        <w:rPr>
          <w:sz w:val="20"/>
          <w:szCs w:val="20"/>
        </w:rPr>
        <w:t xml:space="preserve"> (Uma amostra para o IRS comparando com o valor hipotético de zero)</w:t>
      </w:r>
      <w:r w:rsidRPr="004E5005">
        <w:rPr>
          <w:sz w:val="20"/>
          <w:szCs w:val="20"/>
        </w:rPr>
        <w:t>.</w:t>
      </w:r>
    </w:p>
    <w:p w14:paraId="3F70E1E2" w14:textId="21B9279E" w:rsidR="004E5005" w:rsidRDefault="004E5005" w:rsidP="004E5005">
      <w:pPr>
        <w:rPr>
          <w:sz w:val="20"/>
          <w:szCs w:val="20"/>
        </w:rPr>
      </w:pPr>
    </w:p>
    <w:p w14:paraId="57319996" w14:textId="24DDEA62" w:rsidR="00C96804" w:rsidRDefault="00C96804" w:rsidP="004E5005">
      <w:pPr>
        <w:rPr>
          <w:sz w:val="20"/>
          <w:szCs w:val="20"/>
        </w:rPr>
      </w:pPr>
    </w:p>
    <w:p w14:paraId="4AFCC763" w14:textId="4A5EAB7D" w:rsidR="001B2C3E" w:rsidRDefault="001B2C3E" w:rsidP="00351C49">
      <w:pPr>
        <w:pStyle w:val="Ttulo2"/>
      </w:pPr>
      <w:r>
        <w:lastRenderedPageBreak/>
        <w:t>Existe uma correlação entre a análise automática e manual</w:t>
      </w:r>
    </w:p>
    <w:p w14:paraId="1D972529" w14:textId="32E9DE1A" w:rsidR="00B96AF0" w:rsidRPr="00B96AF0" w:rsidRDefault="00C65393" w:rsidP="00166C99">
      <w:pPr>
        <w:ind w:firstLine="720"/>
      </w:pPr>
      <w:r>
        <w:t>A fim de confirmar a validade dos resultados advindos da análise automática</w:t>
      </w:r>
      <w:r w:rsidR="00B96AF0" w:rsidRPr="00B96AF0">
        <w:t xml:space="preserve">, foi realizada uma correlação de Pearson </w:t>
      </w:r>
      <w:r>
        <w:t>para</w:t>
      </w:r>
      <w:r w:rsidR="00B96AF0" w:rsidRPr="00B96AF0">
        <w:t xml:space="preserve"> comparar os resultados obtidos através da análise manual</w:t>
      </w:r>
      <w:r>
        <w:t xml:space="preserve"> realizada por um avaliador experiente</w:t>
      </w:r>
      <w:r w:rsidR="00B96AF0" w:rsidRPr="00B96AF0">
        <w:t xml:space="preserve">, considerada o padrão-ouro. A avaliação foi conduzida </w:t>
      </w:r>
      <w:r>
        <w:t>nos</w:t>
      </w:r>
      <w:r w:rsidR="00B96AF0" w:rsidRPr="00B96AF0">
        <w:t xml:space="preserve"> dois cenários distintos</w:t>
      </w:r>
      <w:r>
        <w:t xml:space="preserve"> possíveis</w:t>
      </w:r>
      <w:r w:rsidR="00B96AF0" w:rsidRPr="00B96AF0">
        <w:t xml:space="preserve"> (Contexto A e Contexto B) e abrangeu tanto a fase de treino quanto a de teste, conforme visualmente representado nos gráficos de dispersão da imagem. Em todas as condições analisadas, foi encontrada uma correlação positiva, forte e estatisticamente significativa, indicando um alto grau de concordância entre os dois métodos.</w:t>
      </w:r>
    </w:p>
    <w:p w14:paraId="29D57520" w14:textId="64D2FCED" w:rsidR="00B96AF0" w:rsidRPr="00B96AF0" w:rsidRDefault="00B96AF0" w:rsidP="00166C99">
      <w:pPr>
        <w:ind w:firstLine="720"/>
      </w:pPr>
      <w:r w:rsidRPr="00B96AF0">
        <w:t xml:space="preserve">No Contexto A, a fase de treino (Gráfico </w:t>
      </w:r>
      <w:r w:rsidR="00030E25">
        <w:t>A</w:t>
      </w:r>
      <w:r w:rsidRPr="00B96AF0">
        <w:t xml:space="preserve">) já demonstrou uma correlação </w:t>
      </w:r>
      <w:r w:rsidR="00C65393">
        <w:t>alta</w:t>
      </w:r>
      <w:r w:rsidRPr="00B96AF0">
        <w:t xml:space="preserve"> entre os métodos automático e manual (r=0,9700; R2=0,9409; p</w:t>
      </w:r>
      <w:r>
        <w:t>&lt;</w:t>
      </w:r>
      <w:r w:rsidRPr="00B96AF0">
        <w:t xml:space="preserve">;0,0001). Na fase de teste subsequente (Gráfico </w:t>
      </w:r>
      <w:r w:rsidR="00030E25">
        <w:t>B</w:t>
      </w:r>
      <w:r w:rsidRPr="00B96AF0">
        <w:t xml:space="preserve">), a correlação permaneceu forte e altamente significativa (r=0,8782; R2=0,7712; p=0,0002), confirmando a capacidade de generalização do modelo. </w:t>
      </w:r>
    </w:p>
    <w:p w14:paraId="47B22F6A" w14:textId="7E76CCBE" w:rsidR="00B96AF0" w:rsidRPr="00B96AF0" w:rsidRDefault="00B96AF0" w:rsidP="00166C99">
      <w:pPr>
        <w:ind w:firstLine="720"/>
      </w:pPr>
      <w:r w:rsidRPr="00B96AF0">
        <w:t xml:space="preserve">A análise do Contexto B revelou um desempenho ainda mais notável. A fase de treino (Gráfico </w:t>
      </w:r>
      <w:r w:rsidR="00030E25">
        <w:t>C</w:t>
      </w:r>
      <w:r w:rsidRPr="00B96AF0">
        <w:t>) apresentou uma correlação muito forte (r=0,9684; R2=0,9377; p</w:t>
      </w:r>
      <w:r w:rsidR="00030E25">
        <w:t>&lt;</w:t>
      </w:r>
      <w:r w:rsidRPr="00B96AF0">
        <w:t xml:space="preserve">0,0001), similar à observada no Contexto A. Contudo, foi na fase de teste (Gráfico </w:t>
      </w:r>
      <w:r w:rsidR="00030E25">
        <w:t>D</w:t>
      </w:r>
      <w:r w:rsidRPr="00B96AF0">
        <w:t>) que a ferramenta demonstrou sua maior precisão, atingindo uma correlação quase perfeita (r=0,9917; R2=0,9835; p</w:t>
      </w:r>
      <w:r>
        <w:t xml:space="preserve"> &lt; </w:t>
      </w:r>
      <w:r w:rsidRPr="00B96AF0">
        <w:t>0,0001).</w:t>
      </w:r>
      <w:r w:rsidR="00030E25">
        <w:t xml:space="preserve"> Os dados ainda mostram um acoplamento ainda melhor quando vemos que </w:t>
      </w:r>
      <w:r w:rsidRPr="00B96AF0">
        <w:t>o R</w:t>
      </w:r>
      <w:r w:rsidRPr="00030E25">
        <w:rPr>
          <w:vertAlign w:val="superscript"/>
        </w:rPr>
        <w:t>2</w:t>
      </w:r>
      <w:r w:rsidRPr="00B96AF0">
        <w:t xml:space="preserve"> </w:t>
      </w:r>
      <w:r w:rsidR="00030E25">
        <w:t>indica</w:t>
      </w:r>
      <w:r w:rsidRPr="00B96AF0">
        <w:t xml:space="preserve"> que mais de 98% da variância dos dados manuais é prevista pelo método Behavython, sugerindo uma aplicabilidade e confiabilidade elevada</w:t>
      </w:r>
      <w:r w:rsidR="00030E25">
        <w:t>s</w:t>
      </w:r>
      <w:r w:rsidRPr="00B96AF0">
        <w:t>.</w:t>
      </w:r>
    </w:p>
    <w:p w14:paraId="69E9372F" w14:textId="59B81C80" w:rsidR="00B96AF0" w:rsidRPr="00B96AF0" w:rsidRDefault="00B96AF0" w:rsidP="00166C99">
      <w:pPr>
        <w:ind w:firstLine="720"/>
      </w:pPr>
      <w:r w:rsidRPr="00B96AF0">
        <w:t>Em conjunto, estes resultados validam o método de análise automática como uma alternativa precisa à análise manual. A consistência dos altos valores de correlação e a significância estatística em diferentes contextos e fases (treino e teste) sustentam a sua utilização como uma ferramenta eficaz, capaz de otimizar o processo de análise de dados, reduzindo o tempo e a potencial subjetividade associados ao método manual.</w:t>
      </w:r>
    </w:p>
    <w:p w14:paraId="0CC64D44" w14:textId="64215092" w:rsidR="008948BA" w:rsidRDefault="00C65393" w:rsidP="00C96804">
      <w:pPr>
        <w:jc w:val="center"/>
        <w:rPr>
          <w:b/>
          <w:bCs/>
        </w:rPr>
      </w:pPr>
      <w:r>
        <w:rPr>
          <w:noProof/>
        </w:rPr>
        <w:lastRenderedPageBreak/>
        <w:drawing>
          <wp:inline distT="0" distB="0" distL="0" distR="0" wp14:anchorId="546C179F" wp14:editId="6D1CE5DA">
            <wp:extent cx="5943600" cy="3746500"/>
            <wp:effectExtent l="0" t="0" r="0" b="635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746500"/>
                    </a:xfrm>
                    <a:prstGeom prst="rect">
                      <a:avLst/>
                    </a:prstGeom>
                    <a:noFill/>
                    <a:ln>
                      <a:noFill/>
                    </a:ln>
                  </pic:spPr>
                </pic:pic>
              </a:graphicData>
            </a:graphic>
          </wp:inline>
        </w:drawing>
      </w:r>
    </w:p>
    <w:p w14:paraId="5F97521A" w14:textId="64930F2D" w:rsidR="00C96804" w:rsidRPr="00C96804" w:rsidRDefault="00C96804" w:rsidP="00C96804">
      <w:pPr>
        <w:rPr>
          <w:sz w:val="20"/>
          <w:szCs w:val="20"/>
        </w:rPr>
      </w:pPr>
      <w:r w:rsidRPr="00C96804">
        <w:rPr>
          <w:sz w:val="20"/>
          <w:szCs w:val="20"/>
        </w:rPr>
        <w:t>Figura X: Correlação entre os métodos de análise automático e manual.</w:t>
      </w:r>
    </w:p>
    <w:p w14:paraId="6808952C" w14:textId="668DB396" w:rsidR="00C96804" w:rsidRDefault="00C96804" w:rsidP="00C96804">
      <w:pPr>
        <w:rPr>
          <w:sz w:val="20"/>
          <w:szCs w:val="20"/>
        </w:rPr>
      </w:pPr>
      <w:r w:rsidRPr="00C96804">
        <w:rPr>
          <w:sz w:val="20"/>
          <w:szCs w:val="20"/>
        </w:rPr>
        <w:t xml:space="preserve">Gráficos de dispersão ilustrando a concordância entre o tempo de investigação (s) quantificado pelo método automático (eixo Y) e o método manual (eixo X). A análise foi realizada em duas condições experimentais distintas, Contexto A e Contexto B, e em duas fases, treino e teste. Os painéis detalham as correlações para: (A) Contexto A, fase de </w:t>
      </w:r>
      <w:r w:rsidR="00C65393">
        <w:rPr>
          <w:sz w:val="20"/>
          <w:szCs w:val="20"/>
        </w:rPr>
        <w:t>treino</w:t>
      </w:r>
      <w:r w:rsidRPr="00C96804">
        <w:rPr>
          <w:sz w:val="20"/>
          <w:szCs w:val="20"/>
        </w:rPr>
        <w:t xml:space="preserve">; (B) Contexto A, fase de </w:t>
      </w:r>
      <w:r w:rsidR="00030E25">
        <w:rPr>
          <w:sz w:val="20"/>
          <w:szCs w:val="20"/>
        </w:rPr>
        <w:t>t</w:t>
      </w:r>
      <w:r w:rsidR="00C65393">
        <w:rPr>
          <w:sz w:val="20"/>
          <w:szCs w:val="20"/>
        </w:rPr>
        <w:t>este</w:t>
      </w:r>
      <w:r w:rsidRPr="00C96804">
        <w:rPr>
          <w:sz w:val="20"/>
          <w:szCs w:val="20"/>
        </w:rPr>
        <w:t xml:space="preserve">; (C) Contexto B, fase de </w:t>
      </w:r>
      <w:r w:rsidR="00C65393">
        <w:rPr>
          <w:sz w:val="20"/>
          <w:szCs w:val="20"/>
        </w:rPr>
        <w:t>treino</w:t>
      </w:r>
      <w:r w:rsidRPr="00C96804">
        <w:rPr>
          <w:sz w:val="20"/>
          <w:szCs w:val="20"/>
        </w:rPr>
        <w:t xml:space="preserve">; e (D) Contexto B, fase de </w:t>
      </w:r>
      <w:r w:rsidR="00C65393">
        <w:rPr>
          <w:sz w:val="20"/>
          <w:szCs w:val="20"/>
        </w:rPr>
        <w:t>teste</w:t>
      </w:r>
      <w:r w:rsidRPr="00C96804">
        <w:rPr>
          <w:sz w:val="20"/>
          <w:szCs w:val="20"/>
        </w:rPr>
        <w:t>. Cada ponto representa um par de dados de um único animal, e a distribuição linear dos pontos indica uma forte correlação positiva entre as duas formas de análise.</w:t>
      </w:r>
    </w:p>
    <w:p w14:paraId="336988A4" w14:textId="77777777" w:rsidR="00465C19" w:rsidRDefault="00465C19" w:rsidP="00C96804">
      <w:pPr>
        <w:rPr>
          <w:sz w:val="20"/>
          <w:szCs w:val="20"/>
        </w:rPr>
      </w:pPr>
    </w:p>
    <w:p w14:paraId="4449E580" w14:textId="0496FB59" w:rsidR="00465C19" w:rsidRDefault="00465C19" w:rsidP="008C05D2">
      <w:pPr>
        <w:pStyle w:val="Ttulo1"/>
      </w:pPr>
      <w:r>
        <w:t>DISCUSSÃO</w:t>
      </w:r>
    </w:p>
    <w:p w14:paraId="1F5CB09A" w14:textId="77777777" w:rsidR="00446F78" w:rsidRPr="00446F78" w:rsidRDefault="00446F78" w:rsidP="00446F78"/>
    <w:p w14:paraId="2A4F522A" w14:textId="70D3441A" w:rsidR="00465C19" w:rsidRDefault="00465C19" w:rsidP="008C05D2">
      <w:pPr>
        <w:pStyle w:val="Ttulo1"/>
      </w:pPr>
      <w:r>
        <w:t>CONCLUSÃO</w:t>
      </w:r>
    </w:p>
    <w:p w14:paraId="11654DAE" w14:textId="77777777" w:rsidR="00446F78" w:rsidRPr="00446F78" w:rsidRDefault="00446F78" w:rsidP="00446F78"/>
    <w:p w14:paraId="4C2378A7" w14:textId="07D8742A" w:rsidR="00465C19" w:rsidRDefault="00465C19" w:rsidP="008C05D2">
      <w:pPr>
        <w:pStyle w:val="Ttulo1"/>
      </w:pPr>
      <w:r>
        <w:t>REFERÊNCIAS</w:t>
      </w:r>
    </w:p>
    <w:p w14:paraId="0B4D9CF9" w14:textId="77777777" w:rsidR="006057BE" w:rsidRPr="006057BE" w:rsidRDefault="006057BE" w:rsidP="006057BE">
      <w:pPr>
        <w:pStyle w:val="Bibliografia"/>
        <w:rPr>
          <w:rFonts w:cs="Arial"/>
        </w:rPr>
      </w:pPr>
      <w:r>
        <w:fldChar w:fldCharType="begin"/>
      </w:r>
      <w:r>
        <w:instrText xml:space="preserve"> ADDIN ZOTERO_BIBL {"uncited":[],"omitted":[],"custom":[]} CSL_BIBLIOGRAPHY </w:instrText>
      </w:r>
      <w:r>
        <w:fldChar w:fldCharType="separate"/>
      </w:r>
      <w:r w:rsidRPr="006057BE">
        <w:rPr>
          <w:rFonts w:cs="Arial"/>
        </w:rPr>
        <w:t xml:space="preserve">Adams, D. (2019). </w:t>
      </w:r>
      <w:r w:rsidRPr="006057BE">
        <w:rPr>
          <w:rFonts w:cs="Arial"/>
          <w:i/>
          <w:iCs/>
        </w:rPr>
        <w:t>O Guia Definitivo do Mochileiro das Galaxias</w:t>
      </w:r>
      <w:r w:rsidRPr="006057BE">
        <w:rPr>
          <w:rFonts w:cs="Arial"/>
        </w:rPr>
        <w:t>. Douglas Adams.</w:t>
      </w:r>
    </w:p>
    <w:p w14:paraId="3B8BC164" w14:textId="77777777" w:rsidR="006057BE" w:rsidRPr="006057BE" w:rsidRDefault="006057BE" w:rsidP="006057BE">
      <w:pPr>
        <w:pStyle w:val="Bibliografia"/>
        <w:rPr>
          <w:rFonts w:cs="Arial"/>
          <w:lang w:val="en-US"/>
        </w:rPr>
      </w:pPr>
      <w:r w:rsidRPr="006057BE">
        <w:rPr>
          <w:rFonts w:cs="Arial"/>
        </w:rPr>
        <w:lastRenderedPageBreak/>
        <w:t xml:space="preserve">Addis, D. R. (2020). </w:t>
      </w:r>
      <w:r w:rsidRPr="006057BE">
        <w:rPr>
          <w:rFonts w:cs="Arial"/>
          <w:lang w:val="en-US"/>
        </w:rPr>
        <w:t xml:space="preserve">Mental time travel? A neurocognitive model of event simulation. </w:t>
      </w:r>
      <w:r w:rsidRPr="006057BE">
        <w:rPr>
          <w:rFonts w:cs="Arial"/>
          <w:i/>
          <w:iCs/>
          <w:lang w:val="en-US"/>
        </w:rPr>
        <w:t>Review of Philosophy and Psychology</w:t>
      </w:r>
      <w:r w:rsidRPr="006057BE">
        <w:rPr>
          <w:rFonts w:cs="Arial"/>
          <w:lang w:val="en-US"/>
        </w:rPr>
        <w:t xml:space="preserve">, </w:t>
      </w:r>
      <w:r w:rsidRPr="006057BE">
        <w:rPr>
          <w:rFonts w:cs="Arial"/>
          <w:i/>
          <w:iCs/>
          <w:lang w:val="en-US"/>
        </w:rPr>
        <w:t>11</w:t>
      </w:r>
      <w:r w:rsidRPr="006057BE">
        <w:rPr>
          <w:rFonts w:cs="Arial"/>
          <w:lang w:val="en-US"/>
        </w:rPr>
        <w:t>(2), 233–259. https://doi.org/10.1007/s13164-020-00470-0</w:t>
      </w:r>
    </w:p>
    <w:p w14:paraId="7B86F75C" w14:textId="77777777" w:rsidR="006057BE" w:rsidRPr="006057BE" w:rsidRDefault="006057BE" w:rsidP="006057BE">
      <w:pPr>
        <w:pStyle w:val="Bibliografia"/>
        <w:rPr>
          <w:rFonts w:cs="Arial"/>
          <w:lang w:val="en-US"/>
        </w:rPr>
      </w:pPr>
      <w:r w:rsidRPr="006057BE">
        <w:rPr>
          <w:rFonts w:cs="Arial"/>
          <w:lang w:val="en-US"/>
        </w:rPr>
        <w:t xml:space="preserve">Chase, I. D., Tovey, C., Spangler-Martin, D., &amp; Manfredonia, M. (2002). Individual differences versus social dynamics in the formation of animal dominance hierarchies. </w:t>
      </w:r>
      <w:r w:rsidRPr="006057BE">
        <w:rPr>
          <w:rFonts w:cs="Arial"/>
          <w:i/>
          <w:iCs/>
          <w:lang w:val="en-US"/>
        </w:rPr>
        <w:t>Proceedings of the National Academy of Sciences of the United States of America</w:t>
      </w:r>
      <w:r w:rsidRPr="006057BE">
        <w:rPr>
          <w:rFonts w:cs="Arial"/>
          <w:lang w:val="en-US"/>
        </w:rPr>
        <w:t xml:space="preserve">, </w:t>
      </w:r>
      <w:r w:rsidRPr="006057BE">
        <w:rPr>
          <w:rFonts w:cs="Arial"/>
          <w:i/>
          <w:iCs/>
          <w:lang w:val="en-US"/>
        </w:rPr>
        <w:t>99</w:t>
      </w:r>
      <w:r w:rsidRPr="006057BE">
        <w:rPr>
          <w:rFonts w:cs="Arial"/>
          <w:lang w:val="en-US"/>
        </w:rPr>
        <w:t>, 5744–5749. https://doi.org/10.1073/pnas.082104199</w:t>
      </w:r>
    </w:p>
    <w:p w14:paraId="03CC830E" w14:textId="77777777" w:rsidR="006057BE" w:rsidRPr="006057BE" w:rsidRDefault="006057BE" w:rsidP="006057BE">
      <w:pPr>
        <w:pStyle w:val="Bibliografia"/>
        <w:rPr>
          <w:rFonts w:cs="Arial"/>
          <w:lang w:val="en-US"/>
        </w:rPr>
      </w:pPr>
      <w:r w:rsidRPr="006057BE">
        <w:rPr>
          <w:rFonts w:cs="Arial"/>
          <w:lang w:val="en-US"/>
        </w:rPr>
        <w:t xml:space="preserve">Conway, M. A., &amp; Pleydell-Pearce, C. W. (2000). The construction of autobiographical memories in the self-memory system. </w:t>
      </w:r>
      <w:r w:rsidRPr="006057BE">
        <w:rPr>
          <w:rFonts w:cs="Arial"/>
          <w:i/>
          <w:iCs/>
          <w:lang w:val="en-US"/>
        </w:rPr>
        <w:t>Psychological Review</w:t>
      </w:r>
      <w:r w:rsidRPr="006057BE">
        <w:rPr>
          <w:rFonts w:cs="Arial"/>
          <w:lang w:val="en-US"/>
        </w:rPr>
        <w:t xml:space="preserve">, </w:t>
      </w:r>
      <w:r w:rsidRPr="006057BE">
        <w:rPr>
          <w:rFonts w:cs="Arial"/>
          <w:i/>
          <w:iCs/>
          <w:lang w:val="en-US"/>
        </w:rPr>
        <w:t>107</w:t>
      </w:r>
      <w:r w:rsidRPr="006057BE">
        <w:rPr>
          <w:rFonts w:cs="Arial"/>
          <w:lang w:val="en-US"/>
        </w:rPr>
        <w:t>(2), 261–288. https://doi.org/10.1037/0033-295X.107.2.261</w:t>
      </w:r>
    </w:p>
    <w:p w14:paraId="57CC62A9" w14:textId="77777777" w:rsidR="006057BE" w:rsidRPr="006057BE" w:rsidRDefault="006057BE" w:rsidP="006057BE">
      <w:pPr>
        <w:pStyle w:val="Bibliografia"/>
        <w:rPr>
          <w:rFonts w:cs="Arial"/>
          <w:lang w:val="en-US"/>
        </w:rPr>
      </w:pPr>
      <w:r w:rsidRPr="006057BE">
        <w:rPr>
          <w:rFonts w:cs="Arial"/>
          <w:lang w:val="en-US"/>
        </w:rPr>
        <w:t xml:space="preserve">Dudai, Y. (Org.). (2002). </w:t>
      </w:r>
      <w:r w:rsidRPr="006057BE">
        <w:rPr>
          <w:rFonts w:cs="Arial"/>
          <w:i/>
          <w:iCs/>
          <w:lang w:val="en-US"/>
        </w:rPr>
        <w:t>Memory from A to Z: Keywords, concepts, and beyond</w:t>
      </w:r>
      <w:r w:rsidRPr="006057BE">
        <w:rPr>
          <w:rFonts w:cs="Arial"/>
          <w:lang w:val="en-US"/>
        </w:rPr>
        <w:t>. Oxford University Press.</w:t>
      </w:r>
    </w:p>
    <w:p w14:paraId="56F1DE89" w14:textId="77777777" w:rsidR="006057BE" w:rsidRPr="006057BE" w:rsidRDefault="006057BE" w:rsidP="006057BE">
      <w:pPr>
        <w:pStyle w:val="Bibliografia"/>
        <w:rPr>
          <w:rFonts w:cs="Arial"/>
          <w:lang w:val="en-US"/>
        </w:rPr>
      </w:pPr>
      <w:r w:rsidRPr="006057BE">
        <w:rPr>
          <w:rFonts w:cs="Arial"/>
          <w:lang w:val="en-US"/>
        </w:rPr>
        <w:t xml:space="preserve">Dunbar, R. I. M. (2009). The social brain hypothesis and its implications for social evolution. </w:t>
      </w:r>
      <w:r w:rsidRPr="006057BE">
        <w:rPr>
          <w:rFonts w:cs="Arial"/>
          <w:i/>
          <w:iCs/>
          <w:lang w:val="en-US"/>
        </w:rPr>
        <w:t>Annals of Human Biology</w:t>
      </w:r>
      <w:r w:rsidRPr="006057BE">
        <w:rPr>
          <w:rFonts w:cs="Arial"/>
          <w:lang w:val="en-US"/>
        </w:rPr>
        <w:t xml:space="preserve">, </w:t>
      </w:r>
      <w:r w:rsidRPr="006057BE">
        <w:rPr>
          <w:rFonts w:cs="Arial"/>
          <w:i/>
          <w:iCs/>
          <w:lang w:val="en-US"/>
        </w:rPr>
        <w:t>36</w:t>
      </w:r>
      <w:r w:rsidRPr="006057BE">
        <w:rPr>
          <w:rFonts w:cs="Arial"/>
          <w:lang w:val="en-US"/>
        </w:rPr>
        <w:t>(5), 562–572. https://doi.org/10.1080/03014460902960289</w:t>
      </w:r>
    </w:p>
    <w:p w14:paraId="17F31240" w14:textId="77777777" w:rsidR="006057BE" w:rsidRPr="006057BE" w:rsidRDefault="006057BE" w:rsidP="006057BE">
      <w:pPr>
        <w:pStyle w:val="Bibliografia"/>
        <w:rPr>
          <w:rFonts w:cs="Arial"/>
          <w:lang w:val="en-US"/>
        </w:rPr>
      </w:pPr>
      <w:r w:rsidRPr="006057BE">
        <w:rPr>
          <w:rFonts w:cs="Arial"/>
          <w:lang w:val="en-US"/>
        </w:rPr>
        <w:t xml:space="preserve">Egnor, S. E. R., &amp; Branson, K. (2016). Computational Analysis of Behavior. </w:t>
      </w:r>
      <w:r w:rsidRPr="006057BE">
        <w:rPr>
          <w:rFonts w:cs="Arial"/>
          <w:i/>
          <w:iCs/>
          <w:lang w:val="en-US"/>
        </w:rPr>
        <w:t>Annual Review of Neuroscience</w:t>
      </w:r>
      <w:r w:rsidRPr="006057BE">
        <w:rPr>
          <w:rFonts w:cs="Arial"/>
          <w:lang w:val="en-US"/>
        </w:rPr>
        <w:t xml:space="preserve">, </w:t>
      </w:r>
      <w:r w:rsidRPr="006057BE">
        <w:rPr>
          <w:rFonts w:cs="Arial"/>
          <w:i/>
          <w:iCs/>
          <w:lang w:val="en-US"/>
        </w:rPr>
        <w:t>39</w:t>
      </w:r>
      <w:r w:rsidRPr="006057BE">
        <w:rPr>
          <w:rFonts w:cs="Arial"/>
          <w:lang w:val="en-US"/>
        </w:rPr>
        <w:t>(Volume 39, 2016), 217–236. https://doi.org/10.1146/annurev-neuro-070815-013845</w:t>
      </w:r>
    </w:p>
    <w:p w14:paraId="630FEAFA" w14:textId="77777777" w:rsidR="006057BE" w:rsidRPr="006057BE" w:rsidRDefault="006057BE" w:rsidP="006057BE">
      <w:pPr>
        <w:pStyle w:val="Bibliografia"/>
        <w:rPr>
          <w:rFonts w:cs="Arial"/>
          <w:lang w:val="en-US"/>
        </w:rPr>
      </w:pPr>
      <w:r w:rsidRPr="006057BE">
        <w:rPr>
          <w:rFonts w:cs="Arial"/>
          <w:lang w:val="en-US"/>
        </w:rPr>
        <w:t xml:space="preserve">Eichenbaum, H. (2017). Time (and space) in the hippocampus. </w:t>
      </w:r>
      <w:r w:rsidRPr="006057BE">
        <w:rPr>
          <w:rFonts w:cs="Arial"/>
          <w:i/>
          <w:iCs/>
          <w:lang w:val="en-US"/>
        </w:rPr>
        <w:t>Current Opinion in Behavioral Sciences</w:t>
      </w:r>
      <w:r w:rsidRPr="006057BE">
        <w:rPr>
          <w:rFonts w:cs="Arial"/>
          <w:lang w:val="en-US"/>
        </w:rPr>
        <w:t xml:space="preserve">, </w:t>
      </w:r>
      <w:r w:rsidRPr="006057BE">
        <w:rPr>
          <w:rFonts w:cs="Arial"/>
          <w:i/>
          <w:iCs/>
          <w:lang w:val="en-US"/>
        </w:rPr>
        <w:t>17</w:t>
      </w:r>
      <w:r w:rsidRPr="006057BE">
        <w:rPr>
          <w:rFonts w:cs="Arial"/>
          <w:lang w:val="en-US"/>
        </w:rPr>
        <w:t>, 65–70. https://doi.org/10.1016/j.cobeha.2017.06.010</w:t>
      </w:r>
    </w:p>
    <w:p w14:paraId="74B66ED4" w14:textId="77777777" w:rsidR="006057BE" w:rsidRPr="006057BE" w:rsidRDefault="006057BE" w:rsidP="006057BE">
      <w:pPr>
        <w:pStyle w:val="Bibliografia"/>
        <w:rPr>
          <w:rFonts w:cs="Arial"/>
          <w:lang w:val="en-US"/>
        </w:rPr>
      </w:pPr>
      <w:r w:rsidRPr="006057BE">
        <w:rPr>
          <w:rFonts w:cs="Arial"/>
          <w:lang w:val="en-US"/>
        </w:rPr>
        <w:t xml:space="preserve">Fanselow, M. S., &amp; Dong, H.-W. (2010). Are the Dorsal and Ventral Hippocampus Functionally Distinct Structures? </w:t>
      </w:r>
      <w:r w:rsidRPr="006057BE">
        <w:rPr>
          <w:rFonts w:cs="Arial"/>
          <w:i/>
          <w:iCs/>
          <w:lang w:val="en-US"/>
        </w:rPr>
        <w:t>Neuron</w:t>
      </w:r>
      <w:r w:rsidRPr="006057BE">
        <w:rPr>
          <w:rFonts w:cs="Arial"/>
          <w:lang w:val="en-US"/>
        </w:rPr>
        <w:t xml:space="preserve">, </w:t>
      </w:r>
      <w:r w:rsidRPr="006057BE">
        <w:rPr>
          <w:rFonts w:cs="Arial"/>
          <w:i/>
          <w:iCs/>
          <w:lang w:val="en-US"/>
        </w:rPr>
        <w:t>65</w:t>
      </w:r>
      <w:r w:rsidRPr="006057BE">
        <w:rPr>
          <w:rFonts w:cs="Arial"/>
          <w:lang w:val="en-US"/>
        </w:rPr>
        <w:t>(1), 7–19. https://doi.org/10.1016/j.neuron.2009.11.031</w:t>
      </w:r>
    </w:p>
    <w:p w14:paraId="15C6BE71" w14:textId="77777777" w:rsidR="006057BE" w:rsidRPr="006057BE" w:rsidRDefault="006057BE" w:rsidP="006057BE">
      <w:pPr>
        <w:pStyle w:val="Bibliografia"/>
        <w:rPr>
          <w:rFonts w:cs="Arial"/>
          <w:lang w:val="en-US"/>
        </w:rPr>
      </w:pPr>
      <w:r w:rsidRPr="006057BE">
        <w:rPr>
          <w:rFonts w:cs="Arial"/>
          <w:lang w:val="en-US"/>
        </w:rPr>
        <w:lastRenderedPageBreak/>
        <w:t xml:space="preserve">Fivush, R., &amp; Grysman, A. (2023). Accuracy and reconstruction in autobiographical memory: (Re)consolidating neuroscience and sociocultural developmental approaches. </w:t>
      </w:r>
      <w:r w:rsidRPr="006057BE">
        <w:rPr>
          <w:rFonts w:cs="Arial"/>
          <w:i/>
          <w:iCs/>
          <w:lang w:val="en-US"/>
        </w:rPr>
        <w:t>WIREs Cognitive Science</w:t>
      </w:r>
      <w:r w:rsidRPr="006057BE">
        <w:rPr>
          <w:rFonts w:cs="Arial"/>
          <w:lang w:val="en-US"/>
        </w:rPr>
        <w:t xml:space="preserve">, </w:t>
      </w:r>
      <w:r w:rsidRPr="006057BE">
        <w:rPr>
          <w:rFonts w:cs="Arial"/>
          <w:i/>
          <w:iCs/>
          <w:lang w:val="en-US"/>
        </w:rPr>
        <w:t>14</w:t>
      </w:r>
      <w:r w:rsidRPr="006057BE">
        <w:rPr>
          <w:rFonts w:cs="Arial"/>
          <w:lang w:val="en-US"/>
        </w:rPr>
        <w:t>(3), e1620. https://doi.org/10.1002/wcs.1620</w:t>
      </w:r>
    </w:p>
    <w:p w14:paraId="0484BF9C" w14:textId="77777777" w:rsidR="006057BE" w:rsidRPr="006057BE" w:rsidRDefault="006057BE" w:rsidP="006057BE">
      <w:pPr>
        <w:pStyle w:val="Bibliografia"/>
        <w:rPr>
          <w:rFonts w:cs="Arial"/>
          <w:lang w:val="en-US"/>
        </w:rPr>
      </w:pPr>
      <w:r w:rsidRPr="006057BE">
        <w:rPr>
          <w:rFonts w:cs="Arial"/>
          <w:lang w:val="en-US"/>
        </w:rPr>
        <w:t xml:space="preserve">Insel, T. R., &amp; Fernald, R. D. (2004). How the brain processes social information: Searching for the social brain. </w:t>
      </w:r>
      <w:r w:rsidRPr="006057BE">
        <w:rPr>
          <w:rFonts w:cs="Arial"/>
          <w:i/>
          <w:iCs/>
          <w:lang w:val="en-US"/>
        </w:rPr>
        <w:t>Annual Review of Neuroscience</w:t>
      </w:r>
      <w:r w:rsidRPr="006057BE">
        <w:rPr>
          <w:rFonts w:cs="Arial"/>
          <w:lang w:val="en-US"/>
        </w:rPr>
        <w:t xml:space="preserve">, </w:t>
      </w:r>
      <w:r w:rsidRPr="006057BE">
        <w:rPr>
          <w:rFonts w:cs="Arial"/>
          <w:i/>
          <w:iCs/>
          <w:lang w:val="en-US"/>
        </w:rPr>
        <w:t>27</w:t>
      </w:r>
      <w:r w:rsidRPr="006057BE">
        <w:rPr>
          <w:rFonts w:cs="Arial"/>
          <w:lang w:val="en-US"/>
        </w:rPr>
        <w:t>, 697–722. https://doi.org/10.1146/annurev.neuro.27.070203.144148</w:t>
      </w:r>
    </w:p>
    <w:p w14:paraId="73B76CE1" w14:textId="77777777" w:rsidR="006057BE" w:rsidRPr="006057BE" w:rsidRDefault="006057BE" w:rsidP="006057BE">
      <w:pPr>
        <w:pStyle w:val="Bibliografia"/>
        <w:rPr>
          <w:rFonts w:cs="Arial"/>
          <w:lang w:val="en-US"/>
        </w:rPr>
      </w:pPr>
      <w:r w:rsidRPr="006057BE">
        <w:rPr>
          <w:rFonts w:cs="Arial"/>
          <w:lang w:val="en-US"/>
        </w:rPr>
        <w:t xml:space="preserve">Kandel, E. R., Koester, J., Mack, S., &amp; Siegelbaum, S. (Org.). (2021). </w:t>
      </w:r>
      <w:r w:rsidRPr="006057BE">
        <w:rPr>
          <w:rFonts w:cs="Arial"/>
          <w:i/>
          <w:iCs/>
          <w:lang w:val="en-US"/>
        </w:rPr>
        <w:t>Principles of neural science</w:t>
      </w:r>
      <w:r w:rsidRPr="006057BE">
        <w:rPr>
          <w:rFonts w:cs="Arial"/>
          <w:lang w:val="en-US"/>
        </w:rPr>
        <w:t xml:space="preserve"> (Sixth edition). McGraw Hill.</w:t>
      </w:r>
    </w:p>
    <w:p w14:paraId="5ED8F031" w14:textId="77777777" w:rsidR="006057BE" w:rsidRPr="006057BE" w:rsidRDefault="006057BE" w:rsidP="006057BE">
      <w:pPr>
        <w:pStyle w:val="Bibliografia"/>
        <w:rPr>
          <w:rFonts w:cs="Arial"/>
          <w:lang w:val="en-US"/>
        </w:rPr>
      </w:pPr>
      <w:r w:rsidRPr="006057BE">
        <w:rPr>
          <w:rFonts w:cs="Arial"/>
          <w:lang w:val="en-US"/>
        </w:rPr>
        <w:t xml:space="preserve">Knierim, J. J. (2015). The hippocampus. </w:t>
      </w:r>
      <w:r w:rsidRPr="006057BE">
        <w:rPr>
          <w:rFonts w:cs="Arial"/>
          <w:i/>
          <w:iCs/>
          <w:lang w:val="en-US"/>
        </w:rPr>
        <w:t>Current Biology</w:t>
      </w:r>
      <w:r w:rsidRPr="006057BE">
        <w:rPr>
          <w:rFonts w:cs="Arial"/>
          <w:lang w:val="en-US"/>
        </w:rPr>
        <w:t xml:space="preserve">, </w:t>
      </w:r>
      <w:r w:rsidRPr="006057BE">
        <w:rPr>
          <w:rFonts w:cs="Arial"/>
          <w:i/>
          <w:iCs/>
          <w:lang w:val="en-US"/>
        </w:rPr>
        <w:t>25</w:t>
      </w:r>
      <w:r w:rsidRPr="006057BE">
        <w:rPr>
          <w:rFonts w:cs="Arial"/>
          <w:lang w:val="en-US"/>
        </w:rPr>
        <w:t>(23), R1116–R1121. https://doi.org/10.1016/j.cub.2015.10.049</w:t>
      </w:r>
    </w:p>
    <w:p w14:paraId="43837CC4" w14:textId="77777777" w:rsidR="006057BE" w:rsidRPr="006057BE" w:rsidRDefault="006057BE" w:rsidP="006057BE">
      <w:pPr>
        <w:pStyle w:val="Bibliografia"/>
        <w:rPr>
          <w:rFonts w:cs="Arial"/>
          <w:lang w:val="en-US"/>
        </w:rPr>
      </w:pPr>
      <w:r w:rsidRPr="006057BE">
        <w:rPr>
          <w:rFonts w:cs="Arial"/>
          <w:lang w:val="en-US"/>
        </w:rPr>
        <w:t xml:space="preserve">Lieberman, M. D. (2013). </w:t>
      </w:r>
      <w:r w:rsidRPr="006057BE">
        <w:rPr>
          <w:rFonts w:cs="Arial"/>
          <w:i/>
          <w:iCs/>
          <w:lang w:val="en-US"/>
        </w:rPr>
        <w:t>Social: Why our brains are wired to connect</w:t>
      </w:r>
      <w:r w:rsidRPr="006057BE">
        <w:rPr>
          <w:rFonts w:cs="Arial"/>
          <w:lang w:val="en-US"/>
        </w:rPr>
        <w:t xml:space="preserve"> (p. x, 374). Crown Publishers/Random House.</w:t>
      </w:r>
    </w:p>
    <w:p w14:paraId="26563370" w14:textId="77777777" w:rsidR="006057BE" w:rsidRPr="006057BE" w:rsidRDefault="006057BE" w:rsidP="006057BE">
      <w:pPr>
        <w:pStyle w:val="Bibliografia"/>
        <w:rPr>
          <w:rFonts w:cs="Arial"/>
          <w:lang w:val="en-US"/>
        </w:rPr>
      </w:pPr>
      <w:r w:rsidRPr="006057BE">
        <w:rPr>
          <w:rFonts w:cs="Arial"/>
          <w:lang w:val="en-US"/>
        </w:rPr>
        <w:t xml:space="preserve">Lunardi, P., Mansk, L. M. Z., Jaimes, L. F., &amp; Pereira, G. S. (2021). On the novel mechanisms for social memory and the emerging role of neurogenesis. </w:t>
      </w:r>
      <w:r w:rsidRPr="006057BE">
        <w:rPr>
          <w:rFonts w:cs="Arial"/>
          <w:i/>
          <w:iCs/>
          <w:lang w:val="en-US"/>
        </w:rPr>
        <w:t>Brain Research Bulletin</w:t>
      </w:r>
      <w:r w:rsidRPr="006057BE">
        <w:rPr>
          <w:rFonts w:cs="Arial"/>
          <w:lang w:val="en-US"/>
        </w:rPr>
        <w:t xml:space="preserve">, </w:t>
      </w:r>
      <w:r w:rsidRPr="006057BE">
        <w:rPr>
          <w:rFonts w:cs="Arial"/>
          <w:i/>
          <w:iCs/>
          <w:lang w:val="en-US"/>
        </w:rPr>
        <w:t>171</w:t>
      </w:r>
      <w:r w:rsidRPr="006057BE">
        <w:rPr>
          <w:rFonts w:cs="Arial"/>
          <w:lang w:val="en-US"/>
        </w:rPr>
        <w:t>, 56–66. https://doi.org/10.1016/j.brainresbull.2021.03.006</w:t>
      </w:r>
    </w:p>
    <w:p w14:paraId="5400070F" w14:textId="77777777" w:rsidR="006057BE" w:rsidRPr="006057BE" w:rsidRDefault="006057BE" w:rsidP="006057BE">
      <w:pPr>
        <w:pStyle w:val="Bibliografia"/>
        <w:rPr>
          <w:rFonts w:cs="Arial"/>
          <w:lang w:val="en-US"/>
        </w:rPr>
      </w:pPr>
      <w:r w:rsidRPr="006057BE">
        <w:rPr>
          <w:rFonts w:cs="Arial"/>
          <w:lang w:val="en-US"/>
        </w:rPr>
        <w:t xml:space="preserve">Markowitsch, H. J., &amp; Staniloiu, A. (2011). Memory, autonoetic consciousness, and the self. </w:t>
      </w:r>
      <w:r w:rsidRPr="006057BE">
        <w:rPr>
          <w:rFonts w:cs="Arial"/>
          <w:i/>
          <w:iCs/>
          <w:lang w:val="en-US"/>
        </w:rPr>
        <w:t>Consciousness and Cognition</w:t>
      </w:r>
      <w:r w:rsidRPr="006057BE">
        <w:rPr>
          <w:rFonts w:cs="Arial"/>
          <w:lang w:val="en-US"/>
        </w:rPr>
        <w:t xml:space="preserve">, </w:t>
      </w:r>
      <w:r w:rsidRPr="006057BE">
        <w:rPr>
          <w:rFonts w:cs="Arial"/>
          <w:i/>
          <w:iCs/>
          <w:lang w:val="en-US"/>
        </w:rPr>
        <w:t>20</w:t>
      </w:r>
      <w:r w:rsidRPr="006057BE">
        <w:rPr>
          <w:rFonts w:cs="Arial"/>
          <w:lang w:val="en-US"/>
        </w:rPr>
        <w:t>(1), 16–39. https://doi.org/10.1016/j.concog.2010.09.005</w:t>
      </w:r>
    </w:p>
    <w:p w14:paraId="201BAD35" w14:textId="77777777" w:rsidR="006057BE" w:rsidRPr="006057BE" w:rsidRDefault="006057BE" w:rsidP="006057BE">
      <w:pPr>
        <w:pStyle w:val="Bibliografia"/>
        <w:rPr>
          <w:rFonts w:cs="Arial"/>
          <w:lang w:val="en-US"/>
        </w:rPr>
      </w:pPr>
      <w:r w:rsidRPr="006057BE">
        <w:rPr>
          <w:rFonts w:cs="Arial"/>
          <w:lang w:val="en-US"/>
        </w:rPr>
        <w:t xml:space="preserve">Mathis, A., Mamidanna, P., Cury, K. M., Abe, T., Murthy, V. N., Mathis, M. W., &amp; Bethge, M. (2018). DeepLabCut: Markerless pose estimation of user-defined body parts with deep learning. </w:t>
      </w:r>
      <w:r w:rsidRPr="006057BE">
        <w:rPr>
          <w:rFonts w:cs="Arial"/>
          <w:i/>
          <w:iCs/>
          <w:lang w:val="en-US"/>
        </w:rPr>
        <w:t>Nature Neuroscience</w:t>
      </w:r>
      <w:r w:rsidRPr="006057BE">
        <w:rPr>
          <w:rFonts w:cs="Arial"/>
          <w:lang w:val="en-US"/>
        </w:rPr>
        <w:t xml:space="preserve">, </w:t>
      </w:r>
      <w:r w:rsidRPr="006057BE">
        <w:rPr>
          <w:rFonts w:cs="Arial"/>
          <w:i/>
          <w:iCs/>
          <w:lang w:val="en-US"/>
        </w:rPr>
        <w:t>21</w:t>
      </w:r>
      <w:r w:rsidRPr="006057BE">
        <w:rPr>
          <w:rFonts w:cs="Arial"/>
          <w:lang w:val="en-US"/>
        </w:rPr>
        <w:t>(9), 1281–1289. https://doi.org/10.1038/s41593-018-0209-y</w:t>
      </w:r>
    </w:p>
    <w:p w14:paraId="60D08D2A" w14:textId="77777777" w:rsidR="006057BE" w:rsidRPr="006057BE" w:rsidRDefault="006057BE" w:rsidP="006057BE">
      <w:pPr>
        <w:pStyle w:val="Bibliografia"/>
        <w:rPr>
          <w:rFonts w:cs="Arial"/>
          <w:lang w:val="en-US"/>
        </w:rPr>
      </w:pPr>
      <w:r w:rsidRPr="006057BE">
        <w:rPr>
          <w:rFonts w:cs="Arial"/>
          <w:lang w:val="en-US"/>
        </w:rPr>
        <w:lastRenderedPageBreak/>
        <w:t xml:space="preserve">Moser, E. I., Kropff, E., &amp; Moser, M.-B. (2008). Place cells, grid cells, and the brain’s spatial representation system. </w:t>
      </w:r>
      <w:r w:rsidRPr="006057BE">
        <w:rPr>
          <w:rFonts w:cs="Arial"/>
          <w:i/>
          <w:iCs/>
          <w:lang w:val="en-US"/>
        </w:rPr>
        <w:t>Annual Review of Neuroscience</w:t>
      </w:r>
      <w:r w:rsidRPr="006057BE">
        <w:rPr>
          <w:rFonts w:cs="Arial"/>
          <w:lang w:val="en-US"/>
        </w:rPr>
        <w:t xml:space="preserve">, </w:t>
      </w:r>
      <w:r w:rsidRPr="006057BE">
        <w:rPr>
          <w:rFonts w:cs="Arial"/>
          <w:i/>
          <w:iCs/>
          <w:lang w:val="en-US"/>
        </w:rPr>
        <w:t>31</w:t>
      </w:r>
      <w:r w:rsidRPr="006057BE">
        <w:rPr>
          <w:rFonts w:cs="Arial"/>
          <w:lang w:val="en-US"/>
        </w:rPr>
        <w:t>, 69–89. https://doi.org/10.1146/annurev.neuro.31.061307.090723</w:t>
      </w:r>
    </w:p>
    <w:p w14:paraId="3BC465F7" w14:textId="77777777" w:rsidR="006057BE" w:rsidRPr="006057BE" w:rsidRDefault="006057BE" w:rsidP="006057BE">
      <w:pPr>
        <w:pStyle w:val="Bibliografia"/>
        <w:rPr>
          <w:rFonts w:cs="Arial"/>
          <w:lang w:val="en-US"/>
        </w:rPr>
      </w:pPr>
      <w:r w:rsidRPr="006057BE">
        <w:rPr>
          <w:rFonts w:cs="Arial"/>
          <w:lang w:val="en-US"/>
        </w:rPr>
        <w:t xml:space="preserve">Nath, T., Mathis, A., Chen, A. C., Patel, A., Bethge, M., &amp; Mathis, M. W. (2019). Using DeepLabCut for 3D markerless pose estimation across species and behaviors. </w:t>
      </w:r>
      <w:r w:rsidRPr="006057BE">
        <w:rPr>
          <w:rFonts w:cs="Arial"/>
          <w:i/>
          <w:iCs/>
          <w:lang w:val="en-US"/>
        </w:rPr>
        <w:t>Nature Protocols</w:t>
      </w:r>
      <w:r w:rsidRPr="006057BE">
        <w:rPr>
          <w:rFonts w:cs="Arial"/>
          <w:lang w:val="en-US"/>
        </w:rPr>
        <w:t xml:space="preserve">, </w:t>
      </w:r>
      <w:r w:rsidRPr="006057BE">
        <w:rPr>
          <w:rFonts w:cs="Arial"/>
          <w:i/>
          <w:iCs/>
          <w:lang w:val="en-US"/>
        </w:rPr>
        <w:t>14</w:t>
      </w:r>
      <w:r w:rsidRPr="006057BE">
        <w:rPr>
          <w:rFonts w:cs="Arial"/>
          <w:lang w:val="en-US"/>
        </w:rPr>
        <w:t>(7), 2152–2176. https://doi.org/10.1038/s41596-019-0176-0</w:t>
      </w:r>
    </w:p>
    <w:p w14:paraId="7888892C" w14:textId="77777777" w:rsidR="006057BE" w:rsidRPr="006057BE" w:rsidRDefault="006057BE" w:rsidP="006057BE">
      <w:pPr>
        <w:pStyle w:val="Bibliografia"/>
        <w:rPr>
          <w:rFonts w:cs="Arial"/>
          <w:lang w:val="en-US"/>
        </w:rPr>
      </w:pPr>
      <w:r w:rsidRPr="006057BE">
        <w:rPr>
          <w:rFonts w:cs="Arial"/>
          <w:lang w:val="en-US"/>
        </w:rPr>
        <w:t xml:space="preserve">O’Keefe, J. (1976). Place units in the hippocampus of the freely moving rat. </w:t>
      </w:r>
      <w:r w:rsidRPr="006057BE">
        <w:rPr>
          <w:rFonts w:cs="Arial"/>
          <w:i/>
          <w:iCs/>
          <w:lang w:val="en-US"/>
        </w:rPr>
        <w:t>Experimental Neurology</w:t>
      </w:r>
      <w:r w:rsidRPr="006057BE">
        <w:rPr>
          <w:rFonts w:cs="Arial"/>
          <w:lang w:val="en-US"/>
        </w:rPr>
        <w:t xml:space="preserve">, </w:t>
      </w:r>
      <w:r w:rsidRPr="006057BE">
        <w:rPr>
          <w:rFonts w:cs="Arial"/>
          <w:i/>
          <w:iCs/>
          <w:lang w:val="en-US"/>
        </w:rPr>
        <w:t>51</w:t>
      </w:r>
      <w:r w:rsidRPr="006057BE">
        <w:rPr>
          <w:rFonts w:cs="Arial"/>
          <w:lang w:val="en-US"/>
        </w:rPr>
        <w:t>(1), 78–109. https://doi.org/10.1016/0014-4886(76)90055-8</w:t>
      </w:r>
    </w:p>
    <w:p w14:paraId="29035206" w14:textId="77777777" w:rsidR="006057BE" w:rsidRPr="006057BE" w:rsidRDefault="006057BE" w:rsidP="006057BE">
      <w:pPr>
        <w:pStyle w:val="Bibliografia"/>
        <w:rPr>
          <w:rFonts w:cs="Arial"/>
          <w:lang w:val="en-US"/>
        </w:rPr>
      </w:pPr>
      <w:r w:rsidRPr="006057BE">
        <w:rPr>
          <w:rFonts w:cs="Arial"/>
          <w:lang w:val="en-US"/>
        </w:rPr>
        <w:t xml:space="preserve">Okuyama, T. (2018). Social memory engram in the hippocampus. </w:t>
      </w:r>
      <w:r w:rsidRPr="006057BE">
        <w:rPr>
          <w:rFonts w:cs="Arial"/>
          <w:i/>
          <w:iCs/>
          <w:lang w:val="en-US"/>
        </w:rPr>
        <w:t>Neuroscience Research</w:t>
      </w:r>
      <w:r w:rsidRPr="006057BE">
        <w:rPr>
          <w:rFonts w:cs="Arial"/>
          <w:lang w:val="en-US"/>
        </w:rPr>
        <w:t xml:space="preserve">, </w:t>
      </w:r>
      <w:r w:rsidRPr="006057BE">
        <w:rPr>
          <w:rFonts w:cs="Arial"/>
          <w:i/>
          <w:iCs/>
          <w:lang w:val="en-US"/>
        </w:rPr>
        <w:t>129</w:t>
      </w:r>
      <w:r w:rsidRPr="006057BE">
        <w:rPr>
          <w:rFonts w:cs="Arial"/>
          <w:lang w:val="en-US"/>
        </w:rPr>
        <w:t>, 17–23. https://doi.org/10.1016/j.neures.2017.05.007</w:t>
      </w:r>
    </w:p>
    <w:p w14:paraId="7F6E7F86" w14:textId="77777777" w:rsidR="006057BE" w:rsidRPr="006057BE" w:rsidRDefault="006057BE" w:rsidP="006057BE">
      <w:pPr>
        <w:pStyle w:val="Bibliografia"/>
        <w:rPr>
          <w:rFonts w:cs="Arial"/>
          <w:lang w:val="en-US"/>
        </w:rPr>
      </w:pPr>
      <w:r w:rsidRPr="006057BE">
        <w:rPr>
          <w:rFonts w:cs="Arial"/>
        </w:rPr>
        <w:t xml:space="preserve">Pereira-Caixeta, A. R., Guarnieri, L. O., Medeiros, D. C., Mendes, E. M. A. M., Ladeira, L. C. D., Pereira, M. T., Moraes, M. F. D., &amp; Pereira, G. S. (2018). </w:t>
      </w:r>
      <w:r w:rsidRPr="006057BE">
        <w:rPr>
          <w:rFonts w:cs="Arial"/>
          <w:lang w:val="en-US"/>
        </w:rPr>
        <w:t xml:space="preserve">Inhibiting constitutive neurogenesis compromises long-term social recognition memory. </w:t>
      </w:r>
      <w:r w:rsidRPr="006057BE">
        <w:rPr>
          <w:rFonts w:cs="Arial"/>
          <w:i/>
          <w:iCs/>
          <w:lang w:val="en-US"/>
        </w:rPr>
        <w:t>Neurobiology of Learning and Memory</w:t>
      </w:r>
      <w:r w:rsidRPr="006057BE">
        <w:rPr>
          <w:rFonts w:cs="Arial"/>
          <w:lang w:val="en-US"/>
        </w:rPr>
        <w:t xml:space="preserve">, </w:t>
      </w:r>
      <w:r w:rsidRPr="006057BE">
        <w:rPr>
          <w:rFonts w:cs="Arial"/>
          <w:i/>
          <w:iCs/>
          <w:lang w:val="en-US"/>
        </w:rPr>
        <w:t>155</w:t>
      </w:r>
      <w:r w:rsidRPr="006057BE">
        <w:rPr>
          <w:rFonts w:cs="Arial"/>
          <w:lang w:val="en-US"/>
        </w:rPr>
        <w:t>, 92–103. https://doi.org/10.1016/j.nlm.2018.06.014</w:t>
      </w:r>
    </w:p>
    <w:p w14:paraId="4D1F4598" w14:textId="77777777" w:rsidR="006057BE" w:rsidRPr="006057BE" w:rsidRDefault="006057BE" w:rsidP="006057BE">
      <w:pPr>
        <w:pStyle w:val="Bibliografia"/>
        <w:rPr>
          <w:rFonts w:cs="Arial"/>
          <w:lang w:val="en-US"/>
        </w:rPr>
      </w:pPr>
      <w:r w:rsidRPr="006057BE">
        <w:rPr>
          <w:rFonts w:cs="Arial"/>
        </w:rPr>
        <w:t xml:space="preserve">Pereira-Caixeta, A. R., Guarnieri, L. O., Pena, R. R., Dias, T. L., &amp; Pereira, G. S. (2016). </w:t>
      </w:r>
      <w:r w:rsidRPr="006057BE">
        <w:rPr>
          <w:rFonts w:cs="Arial"/>
          <w:lang w:val="en-US"/>
        </w:rPr>
        <w:t xml:space="preserve">Neurogenesis Inhibition Prevents Enriched Environment to Prolong and Strengthen Social Recognition Memory, But Not to Increase BDNF Expression. </w:t>
      </w:r>
      <w:r w:rsidRPr="006057BE">
        <w:rPr>
          <w:rFonts w:cs="Arial"/>
          <w:i/>
          <w:iCs/>
          <w:lang w:val="en-US"/>
        </w:rPr>
        <w:t>Molecular Neurobiology</w:t>
      </w:r>
      <w:r w:rsidRPr="006057BE">
        <w:rPr>
          <w:rFonts w:cs="Arial"/>
          <w:lang w:val="en-US"/>
        </w:rPr>
        <w:t xml:space="preserve">, </w:t>
      </w:r>
      <w:r w:rsidRPr="006057BE">
        <w:rPr>
          <w:rFonts w:cs="Arial"/>
          <w:i/>
          <w:iCs/>
          <w:lang w:val="en-US"/>
        </w:rPr>
        <w:t>54</w:t>
      </w:r>
      <w:r w:rsidRPr="006057BE">
        <w:rPr>
          <w:rFonts w:cs="Arial"/>
          <w:lang w:val="en-US"/>
        </w:rPr>
        <w:t>(5), 3309–3316. https://doi.org/10.1007/s12035-016-9922-2</w:t>
      </w:r>
    </w:p>
    <w:p w14:paraId="43BDB342" w14:textId="77777777" w:rsidR="006057BE" w:rsidRPr="006057BE" w:rsidRDefault="006057BE" w:rsidP="006057BE">
      <w:pPr>
        <w:pStyle w:val="Bibliografia"/>
        <w:rPr>
          <w:rFonts w:cs="Arial"/>
          <w:lang w:val="en-US"/>
        </w:rPr>
      </w:pPr>
      <w:r w:rsidRPr="006057BE">
        <w:rPr>
          <w:rFonts w:cs="Arial"/>
          <w:lang w:val="en-US"/>
        </w:rPr>
        <w:t xml:space="preserve">Perna, J. C., Wotjak, C. T., Stork, O., &amp; Engelmann, M. (2015). Timing of presentation and nature of stimuli determine retroactive interference with social recognition </w:t>
      </w:r>
      <w:r w:rsidRPr="006057BE">
        <w:rPr>
          <w:rFonts w:cs="Arial"/>
          <w:lang w:val="en-US"/>
        </w:rPr>
        <w:lastRenderedPageBreak/>
        <w:t xml:space="preserve">memory in mice. </w:t>
      </w:r>
      <w:r w:rsidRPr="006057BE">
        <w:rPr>
          <w:rFonts w:cs="Arial"/>
          <w:i/>
          <w:iCs/>
          <w:lang w:val="en-US"/>
        </w:rPr>
        <w:t>Physiology &amp;amp; Behavior</w:t>
      </w:r>
      <w:r w:rsidRPr="006057BE">
        <w:rPr>
          <w:rFonts w:cs="Arial"/>
          <w:lang w:val="en-US"/>
        </w:rPr>
        <w:t xml:space="preserve">, </w:t>
      </w:r>
      <w:r w:rsidRPr="006057BE">
        <w:rPr>
          <w:rFonts w:cs="Arial"/>
          <w:i/>
          <w:iCs/>
          <w:lang w:val="en-US"/>
        </w:rPr>
        <w:t>143</w:t>
      </w:r>
      <w:r w:rsidRPr="006057BE">
        <w:rPr>
          <w:rFonts w:cs="Arial"/>
          <w:lang w:val="en-US"/>
        </w:rPr>
        <w:t>, 10–14. https://doi.org/10.1016/j.physbeh.2015.02.029</w:t>
      </w:r>
    </w:p>
    <w:p w14:paraId="5F92B90D" w14:textId="77777777" w:rsidR="006057BE" w:rsidRPr="006057BE" w:rsidRDefault="006057BE" w:rsidP="006057BE">
      <w:pPr>
        <w:pStyle w:val="Bibliografia"/>
        <w:rPr>
          <w:rFonts w:cs="Arial"/>
          <w:lang w:val="en-US"/>
        </w:rPr>
      </w:pPr>
      <w:r w:rsidRPr="006057BE">
        <w:rPr>
          <w:rFonts w:cs="Arial"/>
          <w:lang w:val="en-US"/>
        </w:rPr>
        <w:t xml:space="preserve">Rubin, D. C. (2005). A Basic-Systems Approach to Autobiographical Memory. </w:t>
      </w:r>
      <w:r w:rsidRPr="006057BE">
        <w:rPr>
          <w:rFonts w:cs="Arial"/>
          <w:i/>
          <w:iCs/>
          <w:lang w:val="en-US"/>
        </w:rPr>
        <w:t>Current Directions in Psychological Science</w:t>
      </w:r>
      <w:r w:rsidRPr="006057BE">
        <w:rPr>
          <w:rFonts w:cs="Arial"/>
          <w:lang w:val="en-US"/>
        </w:rPr>
        <w:t xml:space="preserve">, </w:t>
      </w:r>
      <w:r w:rsidRPr="006057BE">
        <w:rPr>
          <w:rFonts w:cs="Arial"/>
          <w:i/>
          <w:iCs/>
          <w:lang w:val="en-US"/>
        </w:rPr>
        <w:t>14</w:t>
      </w:r>
      <w:r w:rsidRPr="006057BE">
        <w:rPr>
          <w:rFonts w:cs="Arial"/>
          <w:lang w:val="en-US"/>
        </w:rPr>
        <w:t>(2), 79–83. https://doi.org/10.1111/j.0963-7214.2005.00339.x</w:t>
      </w:r>
    </w:p>
    <w:p w14:paraId="1AD20BE8" w14:textId="77777777" w:rsidR="006057BE" w:rsidRPr="006057BE" w:rsidRDefault="006057BE" w:rsidP="006057BE">
      <w:pPr>
        <w:pStyle w:val="Bibliografia"/>
        <w:rPr>
          <w:rFonts w:cs="Arial"/>
        </w:rPr>
      </w:pPr>
      <w:r w:rsidRPr="006057BE">
        <w:rPr>
          <w:rFonts w:cs="Arial"/>
          <w:lang w:val="en-US"/>
        </w:rPr>
        <w:t xml:space="preserve">Smith, D. M., &amp; Mizumori, S. J. Y. (2006). Hippocampal place cells, context, and episodic memory. </w:t>
      </w:r>
      <w:r w:rsidRPr="006057BE">
        <w:rPr>
          <w:rFonts w:cs="Arial"/>
          <w:i/>
          <w:iCs/>
        </w:rPr>
        <w:t>Hippocampus</w:t>
      </w:r>
      <w:r w:rsidRPr="006057BE">
        <w:rPr>
          <w:rFonts w:cs="Arial"/>
        </w:rPr>
        <w:t xml:space="preserve">, </w:t>
      </w:r>
      <w:r w:rsidRPr="006057BE">
        <w:rPr>
          <w:rFonts w:cs="Arial"/>
          <w:i/>
          <w:iCs/>
        </w:rPr>
        <w:t>16</w:t>
      </w:r>
      <w:r w:rsidRPr="006057BE">
        <w:rPr>
          <w:rFonts w:cs="Arial"/>
        </w:rPr>
        <w:t>(9), 716–729. https://doi.org/10.1002/hipo.20208</w:t>
      </w:r>
    </w:p>
    <w:p w14:paraId="071F7124" w14:textId="77777777" w:rsidR="006057BE" w:rsidRPr="006057BE" w:rsidRDefault="006057BE" w:rsidP="006057BE">
      <w:pPr>
        <w:pStyle w:val="Bibliografia"/>
        <w:rPr>
          <w:rFonts w:cs="Arial"/>
          <w:lang w:val="en-US"/>
        </w:rPr>
      </w:pPr>
      <w:r w:rsidRPr="006057BE">
        <w:rPr>
          <w:rFonts w:cs="Arial"/>
        </w:rPr>
        <w:t xml:space="preserve">Spreng, R. N., Mar, R. A., &amp; Kim, A. S. N. (2009). </w:t>
      </w:r>
      <w:r w:rsidRPr="006057BE">
        <w:rPr>
          <w:rFonts w:cs="Arial"/>
          <w:lang w:val="en-US"/>
        </w:rPr>
        <w:t xml:space="preserve">The Common Neural Basis of Autobiographical Memory, Prospection, Navigation, Theory of Mind, and the Default Mode: A Quantitative Meta-analysis. </w:t>
      </w:r>
      <w:r w:rsidRPr="006057BE">
        <w:rPr>
          <w:rFonts w:cs="Arial"/>
          <w:i/>
          <w:iCs/>
          <w:lang w:val="en-US"/>
        </w:rPr>
        <w:t>Journal of Cognitive Neuroscience</w:t>
      </w:r>
      <w:r w:rsidRPr="006057BE">
        <w:rPr>
          <w:rFonts w:cs="Arial"/>
          <w:lang w:val="en-US"/>
        </w:rPr>
        <w:t xml:space="preserve">, </w:t>
      </w:r>
      <w:r w:rsidRPr="006057BE">
        <w:rPr>
          <w:rFonts w:cs="Arial"/>
          <w:i/>
          <w:iCs/>
          <w:lang w:val="en-US"/>
        </w:rPr>
        <w:t>21</w:t>
      </w:r>
      <w:r w:rsidRPr="006057BE">
        <w:rPr>
          <w:rFonts w:cs="Arial"/>
          <w:lang w:val="en-US"/>
        </w:rPr>
        <w:t>(3), 489–510. https://doi.org/10.1162/jocn.2008.21029</w:t>
      </w:r>
    </w:p>
    <w:p w14:paraId="5C442BD9" w14:textId="77777777" w:rsidR="006057BE" w:rsidRPr="006057BE" w:rsidRDefault="006057BE" w:rsidP="006057BE">
      <w:pPr>
        <w:pStyle w:val="Bibliografia"/>
        <w:rPr>
          <w:rFonts w:cs="Arial"/>
          <w:lang w:val="en-US"/>
        </w:rPr>
      </w:pPr>
      <w:r w:rsidRPr="006057BE">
        <w:rPr>
          <w:rFonts w:cs="Arial"/>
          <w:lang w:val="en-US"/>
        </w:rPr>
        <w:t xml:space="preserve">Sugar, J., &amp; Moser, M. (2019). Episodic memory: Neuronal codes for what, where, and when. </w:t>
      </w:r>
      <w:r w:rsidRPr="006057BE">
        <w:rPr>
          <w:rFonts w:cs="Arial"/>
          <w:i/>
          <w:iCs/>
          <w:lang w:val="en-US"/>
        </w:rPr>
        <w:t>Hippocampus</w:t>
      </w:r>
      <w:r w:rsidRPr="006057BE">
        <w:rPr>
          <w:rFonts w:cs="Arial"/>
          <w:lang w:val="en-US"/>
        </w:rPr>
        <w:t xml:space="preserve">, </w:t>
      </w:r>
      <w:r w:rsidRPr="006057BE">
        <w:rPr>
          <w:rFonts w:cs="Arial"/>
          <w:i/>
          <w:iCs/>
          <w:lang w:val="en-US"/>
        </w:rPr>
        <w:t>29</w:t>
      </w:r>
      <w:r w:rsidRPr="006057BE">
        <w:rPr>
          <w:rFonts w:cs="Arial"/>
          <w:lang w:val="en-US"/>
        </w:rPr>
        <w:t>(12), 1190–1205. https://doi.org/10.1002/hipo.23132</w:t>
      </w:r>
    </w:p>
    <w:p w14:paraId="3E52FF65" w14:textId="77777777" w:rsidR="006057BE" w:rsidRPr="006057BE" w:rsidRDefault="006057BE" w:rsidP="006057BE">
      <w:pPr>
        <w:pStyle w:val="Bibliografia"/>
        <w:rPr>
          <w:rFonts w:cs="Arial"/>
          <w:lang w:val="en-US"/>
        </w:rPr>
      </w:pPr>
      <w:r w:rsidRPr="006057BE">
        <w:rPr>
          <w:rFonts w:cs="Arial"/>
          <w:i/>
          <w:iCs/>
          <w:lang w:val="en-US"/>
        </w:rPr>
        <w:t>The Hippocampus book</w:t>
      </w:r>
      <w:r w:rsidRPr="006057BE">
        <w:rPr>
          <w:rFonts w:cs="Arial"/>
          <w:lang w:val="en-US"/>
        </w:rPr>
        <w:t>. (2007). Oxford University Press.</w:t>
      </w:r>
    </w:p>
    <w:p w14:paraId="111C9E2F" w14:textId="77777777" w:rsidR="006057BE" w:rsidRPr="006057BE" w:rsidRDefault="006057BE" w:rsidP="006057BE">
      <w:pPr>
        <w:pStyle w:val="Bibliografia"/>
        <w:rPr>
          <w:rFonts w:cs="Arial"/>
          <w:lang w:val="en-US"/>
        </w:rPr>
      </w:pPr>
      <w:r w:rsidRPr="006057BE">
        <w:rPr>
          <w:rFonts w:cs="Arial"/>
          <w:lang w:val="en-US"/>
        </w:rPr>
        <w:t xml:space="preserve">Tost, H., Champagne, F. A., &amp; Meyer-Lindenberg, A. (2015). Environmental influence in the brain, human welfare and mental health. </w:t>
      </w:r>
      <w:r w:rsidRPr="006057BE">
        <w:rPr>
          <w:rFonts w:cs="Arial"/>
          <w:i/>
          <w:iCs/>
          <w:lang w:val="en-US"/>
        </w:rPr>
        <w:t>Nature Neuroscience</w:t>
      </w:r>
      <w:r w:rsidRPr="006057BE">
        <w:rPr>
          <w:rFonts w:cs="Arial"/>
          <w:lang w:val="en-US"/>
        </w:rPr>
        <w:t xml:space="preserve">, </w:t>
      </w:r>
      <w:r w:rsidRPr="006057BE">
        <w:rPr>
          <w:rFonts w:cs="Arial"/>
          <w:i/>
          <w:iCs/>
          <w:lang w:val="en-US"/>
        </w:rPr>
        <w:t>18</w:t>
      </w:r>
      <w:r w:rsidRPr="006057BE">
        <w:rPr>
          <w:rFonts w:cs="Arial"/>
          <w:lang w:val="en-US"/>
        </w:rPr>
        <w:t>(10), 1421–1431. https://doi.org/10.1038/nn.4108</w:t>
      </w:r>
    </w:p>
    <w:p w14:paraId="11ED3869" w14:textId="77777777" w:rsidR="006057BE" w:rsidRPr="006057BE" w:rsidRDefault="006057BE" w:rsidP="006057BE">
      <w:pPr>
        <w:pStyle w:val="Bibliografia"/>
        <w:rPr>
          <w:rFonts w:cs="Arial"/>
          <w:lang w:val="en-US"/>
        </w:rPr>
      </w:pPr>
      <w:r w:rsidRPr="006057BE">
        <w:rPr>
          <w:rFonts w:cs="Arial"/>
          <w:lang w:val="en-US"/>
        </w:rPr>
        <w:t xml:space="preserve">Tulving, E. (1992). </w:t>
      </w:r>
      <w:r w:rsidRPr="006057BE">
        <w:rPr>
          <w:rFonts w:cs="Arial"/>
          <w:i/>
          <w:iCs/>
          <w:lang w:val="en-US"/>
        </w:rPr>
        <w:t>Elements of episodic memory</w:t>
      </w:r>
      <w:r w:rsidRPr="006057BE">
        <w:rPr>
          <w:rFonts w:cs="Arial"/>
          <w:lang w:val="en-US"/>
        </w:rPr>
        <w:t xml:space="preserve"> (Reprinted). Clarendon Press.</w:t>
      </w:r>
    </w:p>
    <w:p w14:paraId="5499C49F" w14:textId="77777777" w:rsidR="006057BE" w:rsidRPr="006057BE" w:rsidRDefault="006057BE" w:rsidP="006057BE">
      <w:pPr>
        <w:pStyle w:val="Bibliografia"/>
        <w:rPr>
          <w:rFonts w:cs="Arial"/>
          <w:lang w:val="en-US"/>
        </w:rPr>
      </w:pPr>
      <w:r w:rsidRPr="006057BE">
        <w:rPr>
          <w:rFonts w:cs="Arial"/>
          <w:lang w:val="en-US"/>
        </w:rPr>
        <w:t xml:space="preserve">Tulving, E. (2002). Episodic Memory: From Mind to Brain. </w:t>
      </w:r>
      <w:r w:rsidRPr="006057BE">
        <w:rPr>
          <w:rFonts w:cs="Arial"/>
          <w:i/>
          <w:iCs/>
          <w:lang w:val="en-US"/>
        </w:rPr>
        <w:t>Annual Review of Psychology</w:t>
      </w:r>
      <w:r w:rsidRPr="006057BE">
        <w:rPr>
          <w:rFonts w:cs="Arial"/>
          <w:lang w:val="en-US"/>
        </w:rPr>
        <w:t xml:space="preserve">, </w:t>
      </w:r>
      <w:r w:rsidRPr="006057BE">
        <w:rPr>
          <w:rFonts w:cs="Arial"/>
          <w:i/>
          <w:iCs/>
          <w:lang w:val="en-US"/>
        </w:rPr>
        <w:t>53</w:t>
      </w:r>
      <w:r w:rsidRPr="006057BE">
        <w:rPr>
          <w:rFonts w:cs="Arial"/>
          <w:lang w:val="en-US"/>
        </w:rPr>
        <w:t>(1), 1–25. https://doi.org/10.1146/annurev.psych.53.100901.135114</w:t>
      </w:r>
    </w:p>
    <w:p w14:paraId="2A18F59C" w14:textId="77777777" w:rsidR="006057BE" w:rsidRPr="006057BE" w:rsidRDefault="006057BE" w:rsidP="006057BE">
      <w:pPr>
        <w:pStyle w:val="Bibliografia"/>
        <w:rPr>
          <w:rFonts w:cs="Arial"/>
        </w:rPr>
      </w:pPr>
      <w:r w:rsidRPr="006057BE">
        <w:rPr>
          <w:rFonts w:cs="Arial"/>
          <w:lang w:val="en-US"/>
        </w:rPr>
        <w:t xml:space="preserve">Wu, W.-Y., Yiu, E., Ophir, A. G., &amp; Smith, D. M. (2023). Effects of social context manipulation on dorsal and ventral hippocampal neuronal responses. </w:t>
      </w:r>
      <w:r w:rsidRPr="006057BE">
        <w:rPr>
          <w:rFonts w:cs="Arial"/>
          <w:i/>
          <w:iCs/>
        </w:rPr>
        <w:t>Hippocampus</w:t>
      </w:r>
      <w:r w:rsidRPr="006057BE">
        <w:rPr>
          <w:rFonts w:cs="Arial"/>
        </w:rPr>
        <w:t xml:space="preserve">, </w:t>
      </w:r>
      <w:r w:rsidRPr="006057BE">
        <w:rPr>
          <w:rFonts w:cs="Arial"/>
          <w:i/>
          <w:iCs/>
        </w:rPr>
        <w:t>33</w:t>
      </w:r>
      <w:r w:rsidRPr="006057BE">
        <w:rPr>
          <w:rFonts w:cs="Arial"/>
        </w:rPr>
        <w:t>(7), 830–843. https://doi.org/10.1002/hipo.23507</w:t>
      </w:r>
    </w:p>
    <w:p w14:paraId="0A76D8EF" w14:textId="336F99BF" w:rsidR="00446F78" w:rsidRPr="00446F78" w:rsidRDefault="006057BE" w:rsidP="00446F78">
      <w:r>
        <w:lastRenderedPageBreak/>
        <w:fldChar w:fldCharType="end"/>
      </w:r>
    </w:p>
    <w:sectPr w:rsidR="00446F78" w:rsidRPr="00446F78" w:rsidSect="005E4CC1">
      <w:headerReference w:type="first" r:id="rId11"/>
      <w:foot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25332B" w14:textId="77777777" w:rsidR="008A5BC3" w:rsidRDefault="008A5BC3" w:rsidP="005E4CC1">
      <w:pPr>
        <w:spacing w:line="240" w:lineRule="auto"/>
      </w:pPr>
      <w:r>
        <w:separator/>
      </w:r>
    </w:p>
  </w:endnote>
  <w:endnote w:type="continuationSeparator" w:id="0">
    <w:p w14:paraId="2E7F025A" w14:textId="77777777" w:rsidR="008A5BC3" w:rsidRDefault="008A5BC3" w:rsidP="005E4C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DE3763" w14:textId="31601070" w:rsidR="005E4CC1" w:rsidRDefault="005E4CC1" w:rsidP="005E4CC1">
    <w:pPr>
      <w:pStyle w:val="Rodap"/>
      <w:jc w:val="center"/>
    </w:pPr>
    <w:r>
      <w:t>BELO HORIZONTE – MG</w:t>
    </w:r>
  </w:p>
  <w:p w14:paraId="3DAAE8FE" w14:textId="0F568F3E" w:rsidR="005E4CC1" w:rsidRDefault="005E4CC1" w:rsidP="005E4CC1">
    <w:pPr>
      <w:pStyle w:val="Rodap"/>
      <w:jc w:val="center"/>
    </w:pPr>
    <w:r>
      <w:t>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B37FA2" w14:textId="77777777" w:rsidR="008A5BC3" w:rsidRDefault="008A5BC3" w:rsidP="005E4CC1">
      <w:pPr>
        <w:spacing w:line="240" w:lineRule="auto"/>
      </w:pPr>
      <w:r>
        <w:separator/>
      </w:r>
    </w:p>
  </w:footnote>
  <w:footnote w:type="continuationSeparator" w:id="0">
    <w:p w14:paraId="35442F6F" w14:textId="77777777" w:rsidR="008A5BC3" w:rsidRDefault="008A5BC3" w:rsidP="005E4CC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54F1C6" w14:textId="77777777" w:rsidR="005E4CC1" w:rsidRDefault="005E4CC1" w:rsidP="005E4CC1">
    <w:pPr>
      <w:widowControl w:val="0"/>
      <w:spacing w:line="278" w:lineRule="auto"/>
      <w:contextualSpacing/>
      <w:jc w:val="center"/>
    </w:pPr>
    <w:r>
      <w:t xml:space="preserve">UNIVERSIDADE FEDERAL DE MINAS GERAIS </w:t>
    </w:r>
  </w:p>
  <w:p w14:paraId="00DDBCFE" w14:textId="410B7359" w:rsidR="005E4CC1" w:rsidRDefault="005E4CC1" w:rsidP="005E4CC1">
    <w:pPr>
      <w:widowControl w:val="0"/>
      <w:spacing w:line="278" w:lineRule="auto"/>
      <w:contextualSpacing/>
      <w:jc w:val="center"/>
    </w:pPr>
    <w:r>
      <w:t>INSTITUTO DE CIÊNCIAS BIOLÓGICAS DEPARTAMENTO DE FISIOLOGIA E BIOFÍSICA</w:t>
    </w:r>
  </w:p>
  <w:p w14:paraId="2AC92001" w14:textId="77777777" w:rsidR="005E4CC1" w:rsidRDefault="005E4CC1">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C06DE"/>
    <w:multiLevelType w:val="hybridMultilevel"/>
    <w:tmpl w:val="610EDEA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98A565F"/>
    <w:multiLevelType w:val="hybridMultilevel"/>
    <w:tmpl w:val="654A38A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95E4D2B"/>
    <w:multiLevelType w:val="hybridMultilevel"/>
    <w:tmpl w:val="6B82F7A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558631E2"/>
    <w:multiLevelType w:val="hybridMultilevel"/>
    <w:tmpl w:val="E000191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A46"/>
    <w:rsid w:val="00004995"/>
    <w:rsid w:val="00030E25"/>
    <w:rsid w:val="00035090"/>
    <w:rsid w:val="0006726C"/>
    <w:rsid w:val="000B63E8"/>
    <w:rsid w:val="00166C99"/>
    <w:rsid w:val="001B2C3E"/>
    <w:rsid w:val="001C00B4"/>
    <w:rsid w:val="001C260B"/>
    <w:rsid w:val="002154EB"/>
    <w:rsid w:val="00260BB1"/>
    <w:rsid w:val="002A5923"/>
    <w:rsid w:val="002F6043"/>
    <w:rsid w:val="00310B66"/>
    <w:rsid w:val="00351B0C"/>
    <w:rsid w:val="00351C49"/>
    <w:rsid w:val="003A4D7D"/>
    <w:rsid w:val="00424DA9"/>
    <w:rsid w:val="00446F78"/>
    <w:rsid w:val="00457A3D"/>
    <w:rsid w:val="00462D8B"/>
    <w:rsid w:val="00465C19"/>
    <w:rsid w:val="004734E5"/>
    <w:rsid w:val="00475149"/>
    <w:rsid w:val="004C7A39"/>
    <w:rsid w:val="004E5005"/>
    <w:rsid w:val="00505D34"/>
    <w:rsid w:val="0053218F"/>
    <w:rsid w:val="00572601"/>
    <w:rsid w:val="00586FB8"/>
    <w:rsid w:val="00597A3E"/>
    <w:rsid w:val="005E4CC1"/>
    <w:rsid w:val="006036AA"/>
    <w:rsid w:val="006057BE"/>
    <w:rsid w:val="00620071"/>
    <w:rsid w:val="00682159"/>
    <w:rsid w:val="0069643E"/>
    <w:rsid w:val="007014F4"/>
    <w:rsid w:val="00704B65"/>
    <w:rsid w:val="00712903"/>
    <w:rsid w:val="0079009F"/>
    <w:rsid w:val="007F1860"/>
    <w:rsid w:val="007F237D"/>
    <w:rsid w:val="00832D58"/>
    <w:rsid w:val="00842CE4"/>
    <w:rsid w:val="008948BA"/>
    <w:rsid w:val="008A5BC3"/>
    <w:rsid w:val="008C05D2"/>
    <w:rsid w:val="008C4F82"/>
    <w:rsid w:val="008F58F3"/>
    <w:rsid w:val="00955D8F"/>
    <w:rsid w:val="0096274D"/>
    <w:rsid w:val="00A34188"/>
    <w:rsid w:val="00A62367"/>
    <w:rsid w:val="00AF4CFC"/>
    <w:rsid w:val="00B203D9"/>
    <w:rsid w:val="00B45A02"/>
    <w:rsid w:val="00B56735"/>
    <w:rsid w:val="00B96AF0"/>
    <w:rsid w:val="00BA3825"/>
    <w:rsid w:val="00BC11B2"/>
    <w:rsid w:val="00BF12AF"/>
    <w:rsid w:val="00C4787C"/>
    <w:rsid w:val="00C65393"/>
    <w:rsid w:val="00C914E6"/>
    <w:rsid w:val="00C96804"/>
    <w:rsid w:val="00CA6B30"/>
    <w:rsid w:val="00CD5A46"/>
    <w:rsid w:val="00D031D3"/>
    <w:rsid w:val="00DE7DB5"/>
    <w:rsid w:val="00E050AE"/>
    <w:rsid w:val="00E83B86"/>
    <w:rsid w:val="00E86144"/>
    <w:rsid w:val="00FA18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EE94E"/>
  <w15:chartTrackingRefBased/>
  <w15:docId w15:val="{9294ACF4-32BB-40D3-90E2-387A03A4A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6F78"/>
    <w:pPr>
      <w:spacing w:after="0" w:line="360" w:lineRule="auto"/>
      <w:jc w:val="both"/>
    </w:pPr>
    <w:rPr>
      <w:rFonts w:ascii="Arial" w:hAnsi="Arial"/>
      <w:color w:val="000000" w:themeColor="text1"/>
      <w:lang w:val="pt-BR"/>
    </w:rPr>
  </w:style>
  <w:style w:type="paragraph" w:styleId="Ttulo1">
    <w:name w:val="heading 1"/>
    <w:basedOn w:val="Normal"/>
    <w:next w:val="Normal"/>
    <w:link w:val="Ttulo1Char"/>
    <w:autoRedefine/>
    <w:uiPriority w:val="9"/>
    <w:qFormat/>
    <w:rsid w:val="008C05D2"/>
    <w:pPr>
      <w:keepNext/>
      <w:keepLines/>
      <w:outlineLvl w:val="0"/>
    </w:pPr>
    <w:rPr>
      <w:rFonts w:eastAsiaTheme="majorEastAsia" w:cstheme="majorBidi"/>
      <w:sz w:val="28"/>
      <w:szCs w:val="40"/>
    </w:rPr>
  </w:style>
  <w:style w:type="paragraph" w:styleId="Ttulo2">
    <w:name w:val="heading 2"/>
    <w:basedOn w:val="Normal"/>
    <w:next w:val="Normal"/>
    <w:link w:val="Ttulo2Char"/>
    <w:autoRedefine/>
    <w:uiPriority w:val="9"/>
    <w:unhideWhenUsed/>
    <w:qFormat/>
    <w:rsid w:val="00351C49"/>
    <w:pPr>
      <w:keepNext/>
      <w:keepLines/>
      <w:outlineLvl w:val="1"/>
    </w:pPr>
    <w:rPr>
      <w:rFonts w:eastAsiaTheme="majorEastAsia" w:cstheme="majorBidi"/>
      <w:b/>
      <w:caps/>
      <w:sz w:val="20"/>
      <w:szCs w:val="32"/>
    </w:rPr>
  </w:style>
  <w:style w:type="paragraph" w:styleId="Ttulo3">
    <w:name w:val="heading 3"/>
    <w:basedOn w:val="Ttulo2"/>
    <w:next w:val="Normal"/>
    <w:link w:val="Ttulo3Char"/>
    <w:autoRedefine/>
    <w:uiPriority w:val="9"/>
    <w:unhideWhenUsed/>
    <w:qFormat/>
    <w:rsid w:val="00351C49"/>
    <w:pPr>
      <w:spacing w:before="160"/>
      <w:outlineLvl w:val="2"/>
    </w:pPr>
    <w:rPr>
      <w:szCs w:val="28"/>
    </w:rPr>
  </w:style>
  <w:style w:type="paragraph" w:styleId="Ttulo4">
    <w:name w:val="heading 4"/>
    <w:basedOn w:val="Normal"/>
    <w:next w:val="Normal"/>
    <w:link w:val="Ttulo4Char"/>
    <w:uiPriority w:val="9"/>
    <w:semiHidden/>
    <w:unhideWhenUsed/>
    <w:qFormat/>
    <w:rsid w:val="00CD5A4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CD5A4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CD5A46"/>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CD5A46"/>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CD5A46"/>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CD5A46"/>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C05D2"/>
    <w:rPr>
      <w:rFonts w:ascii="Arial" w:eastAsiaTheme="majorEastAsia" w:hAnsi="Arial" w:cstheme="majorBidi"/>
      <w:color w:val="000000" w:themeColor="text1"/>
      <w:sz w:val="28"/>
      <w:szCs w:val="40"/>
      <w:lang w:val="pt-BR"/>
    </w:rPr>
  </w:style>
  <w:style w:type="character" w:customStyle="1" w:styleId="Ttulo2Char">
    <w:name w:val="Título 2 Char"/>
    <w:basedOn w:val="Fontepargpadro"/>
    <w:link w:val="Ttulo2"/>
    <w:uiPriority w:val="9"/>
    <w:rsid w:val="00351C49"/>
    <w:rPr>
      <w:rFonts w:ascii="Arial" w:eastAsiaTheme="majorEastAsia" w:hAnsi="Arial" w:cstheme="majorBidi"/>
      <w:b/>
      <w:caps/>
      <w:color w:val="000000" w:themeColor="text1"/>
      <w:sz w:val="20"/>
      <w:szCs w:val="32"/>
      <w:lang w:val="pt-BR"/>
    </w:rPr>
  </w:style>
  <w:style w:type="character" w:customStyle="1" w:styleId="Ttulo3Char">
    <w:name w:val="Título 3 Char"/>
    <w:basedOn w:val="Fontepargpadro"/>
    <w:link w:val="Ttulo3"/>
    <w:uiPriority w:val="9"/>
    <w:rsid w:val="00351C49"/>
    <w:rPr>
      <w:rFonts w:ascii="Arial" w:eastAsiaTheme="majorEastAsia" w:hAnsi="Arial" w:cstheme="majorBidi"/>
      <w:b/>
      <w:caps/>
      <w:color w:val="000000" w:themeColor="text1"/>
      <w:sz w:val="20"/>
      <w:szCs w:val="28"/>
      <w:lang w:val="pt-BR"/>
    </w:rPr>
  </w:style>
  <w:style w:type="character" w:customStyle="1" w:styleId="Ttulo4Char">
    <w:name w:val="Título 4 Char"/>
    <w:basedOn w:val="Fontepargpadro"/>
    <w:link w:val="Ttulo4"/>
    <w:uiPriority w:val="9"/>
    <w:semiHidden/>
    <w:rsid w:val="00CD5A46"/>
    <w:rPr>
      <w:rFonts w:eastAsiaTheme="majorEastAsia" w:cstheme="majorBidi"/>
      <w:i/>
      <w:iCs/>
      <w:color w:val="2F5496" w:themeColor="accent1" w:themeShade="BF"/>
      <w:lang w:val="pt-BR"/>
    </w:rPr>
  </w:style>
  <w:style w:type="character" w:customStyle="1" w:styleId="Ttulo5Char">
    <w:name w:val="Título 5 Char"/>
    <w:basedOn w:val="Fontepargpadro"/>
    <w:link w:val="Ttulo5"/>
    <w:uiPriority w:val="9"/>
    <w:semiHidden/>
    <w:rsid w:val="00CD5A46"/>
    <w:rPr>
      <w:rFonts w:eastAsiaTheme="majorEastAsia" w:cstheme="majorBidi"/>
      <w:color w:val="2F5496" w:themeColor="accent1" w:themeShade="BF"/>
      <w:lang w:val="pt-BR"/>
    </w:rPr>
  </w:style>
  <w:style w:type="character" w:customStyle="1" w:styleId="Ttulo6Char">
    <w:name w:val="Título 6 Char"/>
    <w:basedOn w:val="Fontepargpadro"/>
    <w:link w:val="Ttulo6"/>
    <w:uiPriority w:val="9"/>
    <w:semiHidden/>
    <w:rsid w:val="00CD5A46"/>
    <w:rPr>
      <w:rFonts w:eastAsiaTheme="majorEastAsia" w:cstheme="majorBidi"/>
      <w:i/>
      <w:iCs/>
      <w:color w:val="595959" w:themeColor="text1" w:themeTint="A6"/>
      <w:lang w:val="pt-BR"/>
    </w:rPr>
  </w:style>
  <w:style w:type="character" w:customStyle="1" w:styleId="Ttulo7Char">
    <w:name w:val="Título 7 Char"/>
    <w:basedOn w:val="Fontepargpadro"/>
    <w:link w:val="Ttulo7"/>
    <w:uiPriority w:val="9"/>
    <w:semiHidden/>
    <w:rsid w:val="00CD5A46"/>
    <w:rPr>
      <w:rFonts w:eastAsiaTheme="majorEastAsia" w:cstheme="majorBidi"/>
      <w:color w:val="595959" w:themeColor="text1" w:themeTint="A6"/>
      <w:lang w:val="pt-BR"/>
    </w:rPr>
  </w:style>
  <w:style w:type="character" w:customStyle="1" w:styleId="Ttulo8Char">
    <w:name w:val="Título 8 Char"/>
    <w:basedOn w:val="Fontepargpadro"/>
    <w:link w:val="Ttulo8"/>
    <w:uiPriority w:val="9"/>
    <w:semiHidden/>
    <w:rsid w:val="00CD5A46"/>
    <w:rPr>
      <w:rFonts w:eastAsiaTheme="majorEastAsia" w:cstheme="majorBidi"/>
      <w:i/>
      <w:iCs/>
      <w:color w:val="272727" w:themeColor="text1" w:themeTint="D8"/>
      <w:lang w:val="pt-BR"/>
    </w:rPr>
  </w:style>
  <w:style w:type="character" w:customStyle="1" w:styleId="Ttulo9Char">
    <w:name w:val="Título 9 Char"/>
    <w:basedOn w:val="Fontepargpadro"/>
    <w:link w:val="Ttulo9"/>
    <w:uiPriority w:val="9"/>
    <w:semiHidden/>
    <w:rsid w:val="00CD5A46"/>
    <w:rPr>
      <w:rFonts w:eastAsiaTheme="majorEastAsia" w:cstheme="majorBidi"/>
      <w:color w:val="272727" w:themeColor="text1" w:themeTint="D8"/>
      <w:lang w:val="pt-BR"/>
    </w:rPr>
  </w:style>
  <w:style w:type="paragraph" w:styleId="Ttulo">
    <w:name w:val="Title"/>
    <w:basedOn w:val="Normal"/>
    <w:next w:val="Normal"/>
    <w:link w:val="TtuloChar"/>
    <w:autoRedefine/>
    <w:uiPriority w:val="10"/>
    <w:qFormat/>
    <w:rsid w:val="00682159"/>
    <w:pPr>
      <w:spacing w:line="240" w:lineRule="auto"/>
      <w:contextualSpacing/>
    </w:pPr>
    <w:rPr>
      <w:rFonts w:eastAsiaTheme="majorEastAsia" w:cstheme="majorBidi"/>
      <w:spacing w:val="-10"/>
      <w:kern w:val="28"/>
      <w:sz w:val="28"/>
      <w:szCs w:val="56"/>
    </w:rPr>
  </w:style>
  <w:style w:type="character" w:customStyle="1" w:styleId="TtuloChar">
    <w:name w:val="Título Char"/>
    <w:basedOn w:val="Fontepargpadro"/>
    <w:link w:val="Ttulo"/>
    <w:uiPriority w:val="10"/>
    <w:rsid w:val="00682159"/>
    <w:rPr>
      <w:rFonts w:ascii="Arial" w:eastAsiaTheme="majorEastAsia" w:hAnsi="Arial" w:cstheme="majorBidi"/>
      <w:color w:val="000000" w:themeColor="text1"/>
      <w:spacing w:val="-10"/>
      <w:kern w:val="28"/>
      <w:sz w:val="28"/>
      <w:szCs w:val="56"/>
      <w:lang w:val="pt-BR"/>
    </w:rPr>
  </w:style>
  <w:style w:type="paragraph" w:styleId="Subttulo">
    <w:name w:val="Subtitle"/>
    <w:basedOn w:val="Normal"/>
    <w:next w:val="Normal"/>
    <w:link w:val="SubttuloChar"/>
    <w:autoRedefine/>
    <w:uiPriority w:val="11"/>
    <w:qFormat/>
    <w:rsid w:val="00457A3D"/>
    <w:pPr>
      <w:numPr>
        <w:ilvl w:val="1"/>
      </w:numPr>
    </w:pPr>
    <w:rPr>
      <w:rFonts w:eastAsiaTheme="majorEastAsia" w:cstheme="majorBidi"/>
      <w:spacing w:val="15"/>
      <w:szCs w:val="28"/>
    </w:rPr>
  </w:style>
  <w:style w:type="character" w:customStyle="1" w:styleId="SubttuloChar">
    <w:name w:val="Subtítulo Char"/>
    <w:basedOn w:val="Fontepargpadro"/>
    <w:link w:val="Subttulo"/>
    <w:uiPriority w:val="11"/>
    <w:rsid w:val="00457A3D"/>
    <w:rPr>
      <w:rFonts w:ascii="Arial" w:eastAsiaTheme="majorEastAsia" w:hAnsi="Arial" w:cstheme="majorBidi"/>
      <w:color w:val="000000" w:themeColor="text1"/>
      <w:spacing w:val="15"/>
      <w:szCs w:val="28"/>
      <w:lang w:val="pt-BR"/>
    </w:rPr>
  </w:style>
  <w:style w:type="paragraph" w:styleId="Citao">
    <w:name w:val="Quote"/>
    <w:basedOn w:val="Normal"/>
    <w:next w:val="Normal"/>
    <w:link w:val="CitaoChar"/>
    <w:autoRedefine/>
    <w:uiPriority w:val="29"/>
    <w:qFormat/>
    <w:rsid w:val="00620071"/>
    <w:pPr>
      <w:spacing w:before="160"/>
      <w:jc w:val="center"/>
    </w:pPr>
    <w:rPr>
      <w:i/>
      <w:iCs/>
      <w:sz w:val="20"/>
    </w:rPr>
  </w:style>
  <w:style w:type="character" w:customStyle="1" w:styleId="CitaoChar">
    <w:name w:val="Citação Char"/>
    <w:basedOn w:val="Fontepargpadro"/>
    <w:link w:val="Citao"/>
    <w:uiPriority w:val="29"/>
    <w:rsid w:val="00620071"/>
    <w:rPr>
      <w:rFonts w:ascii="Arial" w:hAnsi="Arial"/>
      <w:i/>
      <w:iCs/>
      <w:color w:val="000000" w:themeColor="text1"/>
      <w:sz w:val="20"/>
      <w:lang w:val="pt-BR"/>
    </w:rPr>
  </w:style>
  <w:style w:type="paragraph" w:styleId="PargrafodaLista">
    <w:name w:val="List Paragraph"/>
    <w:basedOn w:val="Normal"/>
    <w:uiPriority w:val="34"/>
    <w:rsid w:val="00CD5A46"/>
    <w:pPr>
      <w:ind w:left="720"/>
      <w:contextualSpacing/>
    </w:pPr>
  </w:style>
  <w:style w:type="character" w:styleId="nfaseIntensa">
    <w:name w:val="Intense Emphasis"/>
    <w:basedOn w:val="Fontepargpadro"/>
    <w:uiPriority w:val="21"/>
    <w:rsid w:val="00CD5A46"/>
    <w:rPr>
      <w:i/>
      <w:iCs/>
      <w:color w:val="2F5496" w:themeColor="accent1" w:themeShade="BF"/>
    </w:rPr>
  </w:style>
  <w:style w:type="paragraph" w:styleId="CitaoIntensa">
    <w:name w:val="Intense Quote"/>
    <w:basedOn w:val="Normal"/>
    <w:next w:val="Normal"/>
    <w:link w:val="CitaoIntensaChar"/>
    <w:uiPriority w:val="30"/>
    <w:rsid w:val="00CD5A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CD5A46"/>
    <w:rPr>
      <w:i/>
      <w:iCs/>
      <w:color w:val="2F5496" w:themeColor="accent1" w:themeShade="BF"/>
      <w:lang w:val="pt-BR"/>
    </w:rPr>
  </w:style>
  <w:style w:type="character" w:styleId="RefernciaIntensa">
    <w:name w:val="Intense Reference"/>
    <w:basedOn w:val="Fontepargpadro"/>
    <w:uiPriority w:val="32"/>
    <w:rsid w:val="00CD5A46"/>
    <w:rPr>
      <w:b/>
      <w:bCs/>
      <w:smallCaps/>
      <w:color w:val="2F5496" w:themeColor="accent1" w:themeShade="BF"/>
      <w:spacing w:val="5"/>
    </w:rPr>
  </w:style>
  <w:style w:type="paragraph" w:styleId="Legenda">
    <w:name w:val="caption"/>
    <w:basedOn w:val="Normal"/>
    <w:next w:val="Normal"/>
    <w:uiPriority w:val="35"/>
    <w:unhideWhenUsed/>
    <w:qFormat/>
    <w:rsid w:val="00842CE4"/>
    <w:pPr>
      <w:spacing w:after="200" w:line="240" w:lineRule="auto"/>
    </w:pPr>
    <w:rPr>
      <w:i/>
      <w:iCs/>
      <w:color w:val="44546A" w:themeColor="text2"/>
      <w:sz w:val="18"/>
      <w:szCs w:val="18"/>
    </w:rPr>
  </w:style>
  <w:style w:type="paragraph" w:styleId="Bibliografia">
    <w:name w:val="Bibliography"/>
    <w:basedOn w:val="Normal"/>
    <w:next w:val="Normal"/>
    <w:uiPriority w:val="37"/>
    <w:unhideWhenUsed/>
    <w:rsid w:val="00446F78"/>
    <w:pPr>
      <w:spacing w:line="480" w:lineRule="auto"/>
      <w:ind w:left="720" w:hanging="720"/>
    </w:pPr>
  </w:style>
  <w:style w:type="character" w:styleId="TextodoEspaoReservado">
    <w:name w:val="Placeholder Text"/>
    <w:basedOn w:val="Fontepargpadro"/>
    <w:uiPriority w:val="99"/>
    <w:semiHidden/>
    <w:rsid w:val="00351C49"/>
    <w:rPr>
      <w:color w:val="808080"/>
    </w:rPr>
  </w:style>
  <w:style w:type="paragraph" w:styleId="Cabealho">
    <w:name w:val="header"/>
    <w:basedOn w:val="Normal"/>
    <w:link w:val="CabealhoChar"/>
    <w:uiPriority w:val="99"/>
    <w:unhideWhenUsed/>
    <w:rsid w:val="005E4CC1"/>
    <w:pPr>
      <w:tabs>
        <w:tab w:val="center" w:pos="4252"/>
        <w:tab w:val="right" w:pos="8504"/>
      </w:tabs>
      <w:spacing w:line="240" w:lineRule="auto"/>
    </w:pPr>
  </w:style>
  <w:style w:type="character" w:customStyle="1" w:styleId="CabealhoChar">
    <w:name w:val="Cabeçalho Char"/>
    <w:basedOn w:val="Fontepargpadro"/>
    <w:link w:val="Cabealho"/>
    <w:uiPriority w:val="99"/>
    <w:rsid w:val="005E4CC1"/>
    <w:rPr>
      <w:rFonts w:ascii="Arial" w:hAnsi="Arial"/>
      <w:color w:val="000000" w:themeColor="text1"/>
      <w:lang w:val="pt-BR"/>
    </w:rPr>
  </w:style>
  <w:style w:type="paragraph" w:styleId="Rodap">
    <w:name w:val="footer"/>
    <w:basedOn w:val="Normal"/>
    <w:link w:val="RodapChar"/>
    <w:uiPriority w:val="99"/>
    <w:unhideWhenUsed/>
    <w:rsid w:val="005E4CC1"/>
    <w:pPr>
      <w:tabs>
        <w:tab w:val="center" w:pos="4252"/>
        <w:tab w:val="right" w:pos="8504"/>
      </w:tabs>
      <w:spacing w:line="240" w:lineRule="auto"/>
    </w:pPr>
  </w:style>
  <w:style w:type="character" w:customStyle="1" w:styleId="RodapChar">
    <w:name w:val="Rodapé Char"/>
    <w:basedOn w:val="Fontepargpadro"/>
    <w:link w:val="Rodap"/>
    <w:uiPriority w:val="99"/>
    <w:rsid w:val="005E4CC1"/>
    <w:rPr>
      <w:rFonts w:ascii="Arial" w:hAnsi="Arial"/>
      <w:color w:val="000000" w:themeColor="text1"/>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8149">
      <w:bodyDiv w:val="1"/>
      <w:marLeft w:val="0"/>
      <w:marRight w:val="0"/>
      <w:marTop w:val="0"/>
      <w:marBottom w:val="0"/>
      <w:divBdr>
        <w:top w:val="none" w:sz="0" w:space="0" w:color="auto"/>
        <w:left w:val="none" w:sz="0" w:space="0" w:color="auto"/>
        <w:bottom w:val="none" w:sz="0" w:space="0" w:color="auto"/>
        <w:right w:val="none" w:sz="0" w:space="0" w:color="auto"/>
      </w:divBdr>
    </w:div>
    <w:div w:id="272901345">
      <w:bodyDiv w:val="1"/>
      <w:marLeft w:val="0"/>
      <w:marRight w:val="0"/>
      <w:marTop w:val="0"/>
      <w:marBottom w:val="0"/>
      <w:divBdr>
        <w:top w:val="none" w:sz="0" w:space="0" w:color="auto"/>
        <w:left w:val="none" w:sz="0" w:space="0" w:color="auto"/>
        <w:bottom w:val="none" w:sz="0" w:space="0" w:color="auto"/>
        <w:right w:val="none" w:sz="0" w:space="0" w:color="auto"/>
      </w:divBdr>
    </w:div>
    <w:div w:id="537552455">
      <w:bodyDiv w:val="1"/>
      <w:marLeft w:val="0"/>
      <w:marRight w:val="0"/>
      <w:marTop w:val="0"/>
      <w:marBottom w:val="0"/>
      <w:divBdr>
        <w:top w:val="none" w:sz="0" w:space="0" w:color="auto"/>
        <w:left w:val="none" w:sz="0" w:space="0" w:color="auto"/>
        <w:bottom w:val="none" w:sz="0" w:space="0" w:color="auto"/>
        <w:right w:val="none" w:sz="0" w:space="0" w:color="auto"/>
      </w:divBdr>
      <w:divsChild>
        <w:div w:id="707682638">
          <w:marLeft w:val="0"/>
          <w:marRight w:val="0"/>
          <w:marTop w:val="0"/>
          <w:marBottom w:val="0"/>
          <w:divBdr>
            <w:top w:val="none" w:sz="0" w:space="0" w:color="auto"/>
            <w:left w:val="none" w:sz="0" w:space="0" w:color="auto"/>
            <w:bottom w:val="none" w:sz="0" w:space="0" w:color="auto"/>
            <w:right w:val="none" w:sz="0" w:space="0" w:color="auto"/>
          </w:divBdr>
          <w:divsChild>
            <w:div w:id="1710644107">
              <w:marLeft w:val="0"/>
              <w:marRight w:val="0"/>
              <w:marTop w:val="0"/>
              <w:marBottom w:val="0"/>
              <w:divBdr>
                <w:top w:val="none" w:sz="0" w:space="0" w:color="auto"/>
                <w:left w:val="none" w:sz="0" w:space="0" w:color="auto"/>
                <w:bottom w:val="none" w:sz="0" w:space="0" w:color="auto"/>
                <w:right w:val="none" w:sz="0" w:space="0" w:color="auto"/>
              </w:divBdr>
            </w:div>
            <w:div w:id="426580737">
              <w:marLeft w:val="0"/>
              <w:marRight w:val="0"/>
              <w:marTop w:val="0"/>
              <w:marBottom w:val="0"/>
              <w:divBdr>
                <w:top w:val="none" w:sz="0" w:space="0" w:color="auto"/>
                <w:left w:val="none" w:sz="0" w:space="0" w:color="auto"/>
                <w:bottom w:val="none" w:sz="0" w:space="0" w:color="auto"/>
                <w:right w:val="none" w:sz="0" w:space="0" w:color="auto"/>
              </w:divBdr>
            </w:div>
            <w:div w:id="199055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459508">
      <w:bodyDiv w:val="1"/>
      <w:marLeft w:val="0"/>
      <w:marRight w:val="0"/>
      <w:marTop w:val="0"/>
      <w:marBottom w:val="0"/>
      <w:divBdr>
        <w:top w:val="none" w:sz="0" w:space="0" w:color="auto"/>
        <w:left w:val="none" w:sz="0" w:space="0" w:color="auto"/>
        <w:bottom w:val="none" w:sz="0" w:space="0" w:color="auto"/>
        <w:right w:val="none" w:sz="0" w:space="0" w:color="auto"/>
      </w:divBdr>
    </w:div>
    <w:div w:id="792214671">
      <w:bodyDiv w:val="1"/>
      <w:marLeft w:val="0"/>
      <w:marRight w:val="0"/>
      <w:marTop w:val="0"/>
      <w:marBottom w:val="0"/>
      <w:divBdr>
        <w:top w:val="none" w:sz="0" w:space="0" w:color="auto"/>
        <w:left w:val="none" w:sz="0" w:space="0" w:color="auto"/>
        <w:bottom w:val="none" w:sz="0" w:space="0" w:color="auto"/>
        <w:right w:val="none" w:sz="0" w:space="0" w:color="auto"/>
      </w:divBdr>
      <w:divsChild>
        <w:div w:id="1057975742">
          <w:marLeft w:val="0"/>
          <w:marRight w:val="0"/>
          <w:marTop w:val="0"/>
          <w:marBottom w:val="0"/>
          <w:divBdr>
            <w:top w:val="none" w:sz="0" w:space="0" w:color="auto"/>
            <w:left w:val="none" w:sz="0" w:space="0" w:color="auto"/>
            <w:bottom w:val="none" w:sz="0" w:space="0" w:color="auto"/>
            <w:right w:val="none" w:sz="0" w:space="0" w:color="auto"/>
          </w:divBdr>
        </w:div>
      </w:divsChild>
    </w:div>
    <w:div w:id="1056856160">
      <w:bodyDiv w:val="1"/>
      <w:marLeft w:val="0"/>
      <w:marRight w:val="0"/>
      <w:marTop w:val="0"/>
      <w:marBottom w:val="0"/>
      <w:divBdr>
        <w:top w:val="none" w:sz="0" w:space="0" w:color="auto"/>
        <w:left w:val="none" w:sz="0" w:space="0" w:color="auto"/>
        <w:bottom w:val="none" w:sz="0" w:space="0" w:color="auto"/>
        <w:right w:val="none" w:sz="0" w:space="0" w:color="auto"/>
      </w:divBdr>
      <w:divsChild>
        <w:div w:id="1717853652">
          <w:marLeft w:val="0"/>
          <w:marRight w:val="0"/>
          <w:marTop w:val="0"/>
          <w:marBottom w:val="0"/>
          <w:divBdr>
            <w:top w:val="none" w:sz="0" w:space="0" w:color="auto"/>
            <w:left w:val="none" w:sz="0" w:space="0" w:color="auto"/>
            <w:bottom w:val="none" w:sz="0" w:space="0" w:color="auto"/>
            <w:right w:val="none" w:sz="0" w:space="0" w:color="auto"/>
          </w:divBdr>
          <w:divsChild>
            <w:div w:id="319624073">
              <w:marLeft w:val="0"/>
              <w:marRight w:val="0"/>
              <w:marTop w:val="0"/>
              <w:marBottom w:val="0"/>
              <w:divBdr>
                <w:top w:val="none" w:sz="0" w:space="0" w:color="auto"/>
                <w:left w:val="none" w:sz="0" w:space="0" w:color="auto"/>
                <w:bottom w:val="none" w:sz="0" w:space="0" w:color="auto"/>
                <w:right w:val="none" w:sz="0" w:space="0" w:color="auto"/>
              </w:divBdr>
            </w:div>
            <w:div w:id="189827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977224">
      <w:bodyDiv w:val="1"/>
      <w:marLeft w:val="0"/>
      <w:marRight w:val="0"/>
      <w:marTop w:val="0"/>
      <w:marBottom w:val="0"/>
      <w:divBdr>
        <w:top w:val="none" w:sz="0" w:space="0" w:color="auto"/>
        <w:left w:val="none" w:sz="0" w:space="0" w:color="auto"/>
        <w:bottom w:val="none" w:sz="0" w:space="0" w:color="auto"/>
        <w:right w:val="none" w:sz="0" w:space="0" w:color="auto"/>
      </w:divBdr>
    </w:div>
    <w:div w:id="1260799457">
      <w:bodyDiv w:val="1"/>
      <w:marLeft w:val="0"/>
      <w:marRight w:val="0"/>
      <w:marTop w:val="0"/>
      <w:marBottom w:val="0"/>
      <w:divBdr>
        <w:top w:val="none" w:sz="0" w:space="0" w:color="auto"/>
        <w:left w:val="none" w:sz="0" w:space="0" w:color="auto"/>
        <w:bottom w:val="none" w:sz="0" w:space="0" w:color="auto"/>
        <w:right w:val="none" w:sz="0" w:space="0" w:color="auto"/>
      </w:divBdr>
    </w:div>
    <w:div w:id="1291940761">
      <w:bodyDiv w:val="1"/>
      <w:marLeft w:val="0"/>
      <w:marRight w:val="0"/>
      <w:marTop w:val="0"/>
      <w:marBottom w:val="0"/>
      <w:divBdr>
        <w:top w:val="none" w:sz="0" w:space="0" w:color="auto"/>
        <w:left w:val="none" w:sz="0" w:space="0" w:color="auto"/>
        <w:bottom w:val="none" w:sz="0" w:space="0" w:color="auto"/>
        <w:right w:val="none" w:sz="0" w:space="0" w:color="auto"/>
      </w:divBdr>
    </w:div>
    <w:div w:id="1446193764">
      <w:bodyDiv w:val="1"/>
      <w:marLeft w:val="0"/>
      <w:marRight w:val="0"/>
      <w:marTop w:val="0"/>
      <w:marBottom w:val="0"/>
      <w:divBdr>
        <w:top w:val="none" w:sz="0" w:space="0" w:color="auto"/>
        <w:left w:val="none" w:sz="0" w:space="0" w:color="auto"/>
        <w:bottom w:val="none" w:sz="0" w:space="0" w:color="auto"/>
        <w:right w:val="none" w:sz="0" w:space="0" w:color="auto"/>
      </w:divBdr>
    </w:div>
    <w:div w:id="1784298065">
      <w:bodyDiv w:val="1"/>
      <w:marLeft w:val="0"/>
      <w:marRight w:val="0"/>
      <w:marTop w:val="0"/>
      <w:marBottom w:val="0"/>
      <w:divBdr>
        <w:top w:val="none" w:sz="0" w:space="0" w:color="auto"/>
        <w:left w:val="none" w:sz="0" w:space="0" w:color="auto"/>
        <w:bottom w:val="none" w:sz="0" w:space="0" w:color="auto"/>
        <w:right w:val="none" w:sz="0" w:space="0" w:color="auto"/>
      </w:divBdr>
      <w:divsChild>
        <w:div w:id="296768027">
          <w:marLeft w:val="0"/>
          <w:marRight w:val="0"/>
          <w:marTop w:val="0"/>
          <w:marBottom w:val="0"/>
          <w:divBdr>
            <w:top w:val="none" w:sz="0" w:space="0" w:color="auto"/>
            <w:left w:val="none" w:sz="0" w:space="0" w:color="auto"/>
            <w:bottom w:val="none" w:sz="0" w:space="0" w:color="auto"/>
            <w:right w:val="none" w:sz="0" w:space="0" w:color="auto"/>
          </w:divBdr>
        </w:div>
      </w:divsChild>
    </w:div>
    <w:div w:id="1829445296">
      <w:bodyDiv w:val="1"/>
      <w:marLeft w:val="0"/>
      <w:marRight w:val="0"/>
      <w:marTop w:val="0"/>
      <w:marBottom w:val="0"/>
      <w:divBdr>
        <w:top w:val="none" w:sz="0" w:space="0" w:color="auto"/>
        <w:left w:val="none" w:sz="0" w:space="0" w:color="auto"/>
        <w:bottom w:val="none" w:sz="0" w:space="0" w:color="auto"/>
        <w:right w:val="none" w:sz="0" w:space="0" w:color="auto"/>
      </w:divBdr>
    </w:div>
    <w:div w:id="1856580042">
      <w:bodyDiv w:val="1"/>
      <w:marLeft w:val="0"/>
      <w:marRight w:val="0"/>
      <w:marTop w:val="0"/>
      <w:marBottom w:val="0"/>
      <w:divBdr>
        <w:top w:val="none" w:sz="0" w:space="0" w:color="auto"/>
        <w:left w:val="none" w:sz="0" w:space="0" w:color="auto"/>
        <w:bottom w:val="none" w:sz="0" w:space="0" w:color="auto"/>
        <w:right w:val="none" w:sz="0" w:space="0" w:color="auto"/>
      </w:divBdr>
    </w:div>
    <w:div w:id="1904288488">
      <w:bodyDiv w:val="1"/>
      <w:marLeft w:val="0"/>
      <w:marRight w:val="0"/>
      <w:marTop w:val="0"/>
      <w:marBottom w:val="0"/>
      <w:divBdr>
        <w:top w:val="none" w:sz="0" w:space="0" w:color="auto"/>
        <w:left w:val="none" w:sz="0" w:space="0" w:color="auto"/>
        <w:bottom w:val="none" w:sz="0" w:space="0" w:color="auto"/>
        <w:right w:val="none" w:sz="0" w:space="0" w:color="auto"/>
      </w:divBdr>
      <w:divsChild>
        <w:div w:id="605500886">
          <w:marLeft w:val="0"/>
          <w:marRight w:val="0"/>
          <w:marTop w:val="0"/>
          <w:marBottom w:val="0"/>
          <w:divBdr>
            <w:top w:val="none" w:sz="0" w:space="0" w:color="auto"/>
            <w:left w:val="none" w:sz="0" w:space="0" w:color="auto"/>
            <w:bottom w:val="none" w:sz="0" w:space="0" w:color="auto"/>
            <w:right w:val="none" w:sz="0" w:space="0" w:color="auto"/>
          </w:divBdr>
          <w:divsChild>
            <w:div w:id="1551696756">
              <w:marLeft w:val="0"/>
              <w:marRight w:val="0"/>
              <w:marTop w:val="0"/>
              <w:marBottom w:val="0"/>
              <w:divBdr>
                <w:top w:val="none" w:sz="0" w:space="0" w:color="auto"/>
                <w:left w:val="none" w:sz="0" w:space="0" w:color="auto"/>
                <w:bottom w:val="none" w:sz="0" w:space="0" w:color="auto"/>
                <w:right w:val="none" w:sz="0" w:space="0" w:color="auto"/>
              </w:divBdr>
            </w:div>
            <w:div w:id="2021621316">
              <w:marLeft w:val="0"/>
              <w:marRight w:val="0"/>
              <w:marTop w:val="0"/>
              <w:marBottom w:val="0"/>
              <w:divBdr>
                <w:top w:val="none" w:sz="0" w:space="0" w:color="auto"/>
                <w:left w:val="none" w:sz="0" w:space="0" w:color="auto"/>
                <w:bottom w:val="none" w:sz="0" w:space="0" w:color="auto"/>
                <w:right w:val="none" w:sz="0" w:space="0" w:color="auto"/>
              </w:divBdr>
            </w:div>
            <w:div w:id="63683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BNT_Author.XSL" StyleName="ABNT NBR 14724:2025 - Author" Version="4"/>
</file>

<file path=customXml/itemProps1.xml><?xml version="1.0" encoding="utf-8"?>
<ds:datastoreItem xmlns:ds="http://schemas.openxmlformats.org/officeDocument/2006/customXml" ds:itemID="{A3D81A59-A3A0-4646-9D72-AFBD8C41A5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1360</TotalTime>
  <Pages>33</Pages>
  <Words>22835</Words>
  <Characters>123313</Characters>
  <Application>Microsoft Office Word</Application>
  <DocSecurity>0</DocSecurity>
  <Lines>1027</Lines>
  <Paragraphs>291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145857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Matheus</dc:creator>
  <cp:keywords/>
  <dc:description/>
  <cp:lastModifiedBy>Matheus Costa</cp:lastModifiedBy>
  <cp:revision>20</cp:revision>
  <dcterms:created xsi:type="dcterms:W3CDTF">2025-10-19T14:16:00Z</dcterms:created>
  <dcterms:modified xsi:type="dcterms:W3CDTF">2025-11-04T18:13:00Z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id="U1VSzmq9"/&gt;&lt;style id="http://www.zotero.org/styles/apa" locale="pt-BR"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