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567DB" w14:textId="40BB55C3" w:rsidR="00832D58" w:rsidRDefault="00457A3D" w:rsidP="00457A3D">
      <w:pPr>
        <w:pStyle w:val="Ttulo"/>
      </w:pPr>
      <w:r>
        <w:t>RESULTADOS</w:t>
      </w:r>
    </w:p>
    <w:p w14:paraId="7A35AF02" w14:textId="478F9D55" w:rsidR="0079009F" w:rsidRDefault="0079009F" w:rsidP="0079009F"/>
    <w:p w14:paraId="6B93ADA7" w14:textId="583E895E" w:rsidR="001B2C3E" w:rsidRDefault="001B2C3E" w:rsidP="0079009F">
      <w:pPr>
        <w:rPr>
          <w:b/>
          <w:bCs/>
        </w:rPr>
      </w:pPr>
      <w:r w:rsidRPr="001B2C3E">
        <w:rPr>
          <w:b/>
          <w:bCs/>
        </w:rPr>
        <w:t>Os animais são capazes de expressar memória social no contexto A, em amb</w:t>
      </w:r>
      <w:r>
        <w:rPr>
          <w:b/>
          <w:bCs/>
        </w:rPr>
        <w:t>o</w:t>
      </w:r>
      <w:r w:rsidRPr="001B2C3E">
        <w:rPr>
          <w:b/>
          <w:bCs/>
        </w:rPr>
        <w:t xml:space="preserve">s </w:t>
      </w:r>
      <w:r>
        <w:rPr>
          <w:b/>
          <w:bCs/>
        </w:rPr>
        <w:t>métodos</w:t>
      </w:r>
      <w:r w:rsidRPr="001B2C3E">
        <w:rPr>
          <w:b/>
          <w:bCs/>
        </w:rPr>
        <w:t xml:space="preserve"> de análise</w:t>
      </w:r>
    </w:p>
    <w:p w14:paraId="3B13C8BD" w14:textId="6958373D" w:rsidR="00166C99" w:rsidRPr="00166C99" w:rsidRDefault="00166C99" w:rsidP="00166C99">
      <w:pPr>
        <w:ind w:firstLine="720"/>
      </w:pPr>
      <w:r w:rsidRPr="00166C99">
        <w:t>A capacidade de reconhecimento social dos animais no Contexto A foi avaliada por meio de d</w:t>
      </w:r>
      <w:r w:rsidR="00C96804">
        <w:t xml:space="preserve">ois métodos de análise </w:t>
      </w:r>
      <w:r w:rsidRPr="00166C99">
        <w:t xml:space="preserve">comportamentais distintas, </w:t>
      </w:r>
      <w:r w:rsidR="00C96804">
        <w:t>sendo um</w:t>
      </w:r>
      <w:r w:rsidRPr="00166C99">
        <w:t xml:space="preserve"> método manual </w:t>
      </w:r>
      <w:r w:rsidR="00C96804">
        <w:t>e outro</w:t>
      </w:r>
      <w:r w:rsidRPr="00166C99">
        <w:t xml:space="preserve"> automático (BY). Os resultados de ambas as abordagens convergem para indicar, de forma robusta, a presença de memória social. A evidência primária reside na diminuição do tempo de investigação durante a fase de teste em comparação com a fase de treino, um comportamento indicativo de reconhecimento do animal-estímulo familiar.</w:t>
      </w:r>
    </w:p>
    <w:p w14:paraId="4A122C94" w14:textId="4AAF2BEA" w:rsidR="00166C99" w:rsidRPr="00166C99" w:rsidRDefault="00166C99" w:rsidP="00166C99">
      <w:pPr>
        <w:ind w:firstLine="720"/>
      </w:pPr>
      <w:r w:rsidRPr="00166C99">
        <w:t xml:space="preserve">A análise do tempo de investigação (Gráficos C e D) revela uma redução estatisticamente significativa entre as fases. Pelo método manual, o tempo de exploração no teste foi significativamente menor que no treino (teste t pareado: </w:t>
      </w:r>
      <w:proofErr w:type="gramStart"/>
      <w:r w:rsidRPr="00166C99">
        <w:t>t(</w:t>
      </w:r>
      <w:proofErr w:type="gramEnd"/>
      <w:r w:rsidRPr="00166C99">
        <w:t xml:space="preserve">11)=4,209; p=0,0015). Este achado foi </w:t>
      </w:r>
      <w:r w:rsidR="004E5005">
        <w:t>também encontrado quando realizado</w:t>
      </w:r>
      <w:r w:rsidRPr="00166C99">
        <w:t xml:space="preserve"> pela análise automática, que demonstrou uma diferença ainda mais pronunciada (</w:t>
      </w:r>
      <w:proofErr w:type="gramStart"/>
      <w:r w:rsidRPr="00166C99">
        <w:t>t(</w:t>
      </w:r>
      <w:proofErr w:type="gramEnd"/>
      <w:r w:rsidRPr="00166C99">
        <w:t>11)=4,785; p=0,0006). Esta diminuição do interesse exploratório na segunda exposição ao mesmo estímulo social é um marcador comportamental clássico para a evocação de memória de reconhecimento.</w:t>
      </w:r>
    </w:p>
    <w:p w14:paraId="7228B8E2" w14:textId="005316E1" w:rsidR="00166C99" w:rsidRPr="00166C99" w:rsidRDefault="00A62367" w:rsidP="00166C99">
      <w:pPr>
        <w:ind w:firstLine="720"/>
      </w:pPr>
      <w:r>
        <w:t xml:space="preserve">Essa diferença também é revelada quando o índice de reconhecimento social (IRS) é calculado </w:t>
      </w:r>
      <w:r w:rsidR="00166C99" w:rsidRPr="00166C99">
        <w:t xml:space="preserve">(Gráficos A e B). Em consonância com os dados de tempo de investigação, o índice médio em ambas as análises foi significativamente superior ao valor teórico de zero, que representa a </w:t>
      </w:r>
      <w:r w:rsidR="004E5005">
        <w:t>presença</w:t>
      </w:r>
      <w:r w:rsidR="00166C99" w:rsidRPr="00166C99">
        <w:t xml:space="preserve"> de memória. A análise manual resultou em um índice significativamente positivo (teste t de uma amostra: </w:t>
      </w:r>
      <w:proofErr w:type="gramStart"/>
      <w:r w:rsidR="00166C99" w:rsidRPr="00166C99">
        <w:t>t(</w:t>
      </w:r>
      <w:proofErr w:type="gramEnd"/>
      <w:r w:rsidR="00166C99" w:rsidRPr="00166C99">
        <w:t>11)=4,374; p=0,0011), assim como a análise automática BY (t(11)=4,748; p=0,0006). Em conjunto, a convergência dos resultados obtidos por diferentes métricas e métodos de quantificação sustenta solidamente a conclusão de que os animais expressaram memória social no Contexto A.</w:t>
      </w:r>
    </w:p>
    <w:p w14:paraId="4D4C3A45" w14:textId="6DACA342" w:rsidR="00BF12AF" w:rsidRDefault="00842CE4" w:rsidP="004E500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C94994A" wp14:editId="4AE72D14">
            <wp:extent cx="4840207" cy="534352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8667" cy="5419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647B9" w14:textId="2CF46B59" w:rsidR="00C96804" w:rsidRPr="00C96804" w:rsidRDefault="00C96804" w:rsidP="00C96804">
      <w:pPr>
        <w:keepNext/>
        <w:rPr>
          <w:b/>
          <w:bCs/>
          <w:sz w:val="20"/>
          <w:szCs w:val="20"/>
        </w:rPr>
      </w:pPr>
      <w:r w:rsidRPr="00C96804">
        <w:rPr>
          <w:b/>
          <w:bCs/>
          <w:sz w:val="20"/>
          <w:szCs w:val="20"/>
        </w:rPr>
        <w:t xml:space="preserve">Figura </w:t>
      </w:r>
      <w:r w:rsidRPr="00C96804">
        <w:rPr>
          <w:b/>
          <w:bCs/>
          <w:sz w:val="20"/>
          <w:szCs w:val="20"/>
        </w:rPr>
        <w:t>X</w:t>
      </w:r>
      <w:r w:rsidRPr="00C96804">
        <w:rPr>
          <w:b/>
          <w:bCs/>
          <w:sz w:val="20"/>
          <w:szCs w:val="20"/>
        </w:rPr>
        <w:t>: Expressão de memória social no Contexto A.</w:t>
      </w:r>
    </w:p>
    <w:p w14:paraId="130000A8" w14:textId="78FC5DB4" w:rsidR="004E5005" w:rsidRDefault="00C96804" w:rsidP="00C96804">
      <w:pPr>
        <w:keepNext/>
        <w:rPr>
          <w:sz w:val="20"/>
          <w:szCs w:val="20"/>
        </w:rPr>
      </w:pPr>
      <w:r w:rsidRPr="00C96804">
        <w:rPr>
          <w:sz w:val="20"/>
          <w:szCs w:val="20"/>
        </w:rPr>
        <w:t xml:space="preserve">Gráficos superiores representam o índice de reconhecimento social, obtido pela análise automática (A) e manual (B). Cada ponto representa um animal individual, com a linha contínua indicando a média do grupo. A linha pontilhada em zero corresponde ao nível do acaso. Gráficos inferiores apresentam o tempo total de investigação (em segundos) durante a fase de treino (vermelho) e teste (azul), analisado pelo método automático (C) e manual (D). As barras indicam a média + EPM, com os pontos individuais sobrepostos. Os asteriscos denotam a significância estatística (**p &lt; 0,01; ***p &lt; 0,001). As análises foram realizadas utilizando o teste t de </w:t>
      </w:r>
      <w:proofErr w:type="spellStart"/>
      <w:r w:rsidRPr="00C96804">
        <w:rPr>
          <w:sz w:val="20"/>
          <w:szCs w:val="20"/>
        </w:rPr>
        <w:t>Student</w:t>
      </w:r>
      <w:proofErr w:type="spellEnd"/>
      <w:r w:rsidR="00A62367">
        <w:rPr>
          <w:sz w:val="20"/>
          <w:szCs w:val="20"/>
        </w:rPr>
        <w:t xml:space="preserve"> (Uma amostra para o IRS comparando com o valor hipotético de zero)</w:t>
      </w:r>
      <w:r w:rsidRPr="00C96804">
        <w:rPr>
          <w:sz w:val="20"/>
          <w:szCs w:val="20"/>
        </w:rPr>
        <w:t>.</w:t>
      </w:r>
    </w:p>
    <w:p w14:paraId="5F57D135" w14:textId="77777777" w:rsidR="00C96804" w:rsidRDefault="00C96804" w:rsidP="001B2C3E">
      <w:pPr>
        <w:rPr>
          <w:sz w:val="20"/>
          <w:szCs w:val="20"/>
        </w:rPr>
      </w:pPr>
    </w:p>
    <w:p w14:paraId="2A47C824" w14:textId="77777777" w:rsidR="00C96804" w:rsidRDefault="00C96804" w:rsidP="001B2C3E">
      <w:pPr>
        <w:rPr>
          <w:sz w:val="20"/>
          <w:szCs w:val="20"/>
        </w:rPr>
      </w:pPr>
    </w:p>
    <w:p w14:paraId="0A542D3C" w14:textId="77777777" w:rsidR="00C96804" w:rsidRDefault="00C96804" w:rsidP="001B2C3E">
      <w:pPr>
        <w:rPr>
          <w:sz w:val="20"/>
          <w:szCs w:val="20"/>
        </w:rPr>
      </w:pPr>
    </w:p>
    <w:p w14:paraId="1808CE9A" w14:textId="5A580A32" w:rsidR="001B2C3E" w:rsidRDefault="001B2C3E" w:rsidP="001B2C3E">
      <w:pPr>
        <w:rPr>
          <w:b/>
          <w:bCs/>
        </w:rPr>
      </w:pPr>
      <w:r w:rsidRPr="001B2C3E">
        <w:rPr>
          <w:b/>
          <w:bCs/>
        </w:rPr>
        <w:lastRenderedPageBreak/>
        <w:t xml:space="preserve">Os animais são capazes de expressar memória social no contexto </w:t>
      </w:r>
      <w:r>
        <w:rPr>
          <w:b/>
          <w:bCs/>
        </w:rPr>
        <w:t>B</w:t>
      </w:r>
      <w:r w:rsidRPr="001B2C3E">
        <w:rPr>
          <w:b/>
          <w:bCs/>
        </w:rPr>
        <w:t xml:space="preserve">, em </w:t>
      </w:r>
      <w:r>
        <w:rPr>
          <w:b/>
          <w:bCs/>
        </w:rPr>
        <w:t>ambos</w:t>
      </w:r>
      <w:r w:rsidRPr="001B2C3E">
        <w:rPr>
          <w:b/>
          <w:bCs/>
        </w:rPr>
        <w:t xml:space="preserve"> </w:t>
      </w:r>
      <w:r>
        <w:rPr>
          <w:b/>
          <w:bCs/>
        </w:rPr>
        <w:t>métodos</w:t>
      </w:r>
      <w:r w:rsidRPr="001B2C3E">
        <w:rPr>
          <w:b/>
          <w:bCs/>
        </w:rPr>
        <w:t xml:space="preserve"> de análise</w:t>
      </w:r>
    </w:p>
    <w:p w14:paraId="32CB1384" w14:textId="30A64011" w:rsidR="00166C99" w:rsidRDefault="00A62367" w:rsidP="00C96804">
      <w:pPr>
        <w:ind w:firstLine="720"/>
      </w:pPr>
      <w:r>
        <w:t>Agora a</w:t>
      </w:r>
      <w:r w:rsidR="00166C99">
        <w:t xml:space="preserve"> investigação da memória social </w:t>
      </w:r>
      <w:r>
        <w:t xml:space="preserve">foi realizada </w:t>
      </w:r>
      <w:r w:rsidR="00166C99">
        <w:t xml:space="preserve">no Contexto B por meio de utilizando </w:t>
      </w:r>
      <w:r>
        <w:t>as mesmas métricas aplicadas ao contexto A</w:t>
      </w:r>
      <w:r w:rsidR="00166C99">
        <w:t>. Os resultados obtidos de forma independente por ambas as abordagens indicam consistentemente que os animais foram capazes de expressar memória de reconhecimento</w:t>
      </w:r>
      <w:r>
        <w:t xml:space="preserve"> também neste contexto</w:t>
      </w:r>
      <w:r w:rsidR="00166C99">
        <w:t xml:space="preserve">. </w:t>
      </w:r>
    </w:p>
    <w:p w14:paraId="49CC20C3" w14:textId="74F48A23" w:rsidR="00166C99" w:rsidRDefault="00166C99" w:rsidP="00166C99">
      <w:pPr>
        <w:ind w:firstLine="720"/>
      </w:pPr>
      <w:r>
        <w:t xml:space="preserve">A análise do tempo de investigação (Gráficos C e D) demonstrou uma redução estatisticamente significativa na exploração do animal-estímulo da fase de treino para a de teste. Na análise manual, essa diminuição foi significativa (teste t pareado: </w:t>
      </w:r>
      <w:proofErr w:type="gramStart"/>
      <w:r>
        <w:t>t(</w:t>
      </w:r>
      <w:proofErr w:type="gramEnd"/>
      <w:r>
        <w:t>11)=2,595; p=0,0249). De forma similar, a análise automática (BY) corroborou este achado, confirmando que o tempo de investigação no teste foi significantemente menor (</w:t>
      </w:r>
      <w:proofErr w:type="gramStart"/>
      <w:r>
        <w:t>t(</w:t>
      </w:r>
      <w:proofErr w:type="gramEnd"/>
      <w:r>
        <w:t xml:space="preserve">11)=2,271; p=0,0442). </w:t>
      </w:r>
    </w:p>
    <w:p w14:paraId="2B91A711" w14:textId="643F35EE" w:rsidR="00842CE4" w:rsidRDefault="00A62367" w:rsidP="00166C99">
      <w:pPr>
        <w:ind w:firstLine="720"/>
      </w:pPr>
      <w:r>
        <w:t>Essa diferença também é revelada quando o índice de reconhecimento social (IRS) é calculado</w:t>
      </w:r>
      <w:r>
        <w:t xml:space="preserve"> </w:t>
      </w:r>
      <w:r w:rsidR="00166C99">
        <w:t>(Gráficos A e B). A análise manual revelou um índice médio significativamente positivo (</w:t>
      </w:r>
      <w:proofErr w:type="gramStart"/>
      <w:r w:rsidR="00166C99">
        <w:t>t(</w:t>
      </w:r>
      <w:proofErr w:type="gramEnd"/>
      <w:r w:rsidR="00166C99">
        <w:t>11)=2,588; p=0,0252). Este resultado foi replicado pela análise automática, que também apontou um índice médio significantemente maior que o acaso (</w:t>
      </w:r>
      <w:proofErr w:type="gramStart"/>
      <w:r w:rsidR="00166C99">
        <w:t>t(</w:t>
      </w:r>
      <w:proofErr w:type="gramEnd"/>
      <w:r w:rsidR="00166C99">
        <w:t xml:space="preserve">11)=2,401; p=0,0352). A convergência dos resultados, tanto na análise do tempo de exploração quanto no índice de reconhecimento, sustenta a conclusão de que os animais demonstraram memória social </w:t>
      </w:r>
      <w:r w:rsidR="00C65393">
        <w:t xml:space="preserve">também </w:t>
      </w:r>
      <w:r w:rsidR="00166C99">
        <w:t>no Contexto B.</w:t>
      </w:r>
    </w:p>
    <w:p w14:paraId="72BA7834" w14:textId="65548D92" w:rsidR="00842CE4" w:rsidRDefault="00842CE4" w:rsidP="00842CE4">
      <w:pPr>
        <w:jc w:val="center"/>
      </w:pPr>
      <w:r>
        <w:rPr>
          <w:noProof/>
        </w:rPr>
        <w:lastRenderedPageBreak/>
        <w:drawing>
          <wp:inline distT="0" distB="0" distL="0" distR="0" wp14:anchorId="3F91555F" wp14:editId="056D6D2B">
            <wp:extent cx="4878312" cy="547687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114" t="5442" r="24559" b="11564"/>
                    <a:stretch/>
                  </pic:blipFill>
                  <pic:spPr bwMode="auto">
                    <a:xfrm>
                      <a:off x="0" y="0"/>
                      <a:ext cx="4935961" cy="5541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35F02B" w14:textId="2D842743" w:rsidR="004E5005" w:rsidRPr="004E5005" w:rsidRDefault="004E5005" w:rsidP="004E5005">
      <w:pPr>
        <w:rPr>
          <w:b/>
          <w:bCs/>
          <w:i/>
          <w:iCs/>
          <w:sz w:val="20"/>
          <w:szCs w:val="20"/>
        </w:rPr>
      </w:pPr>
      <w:r w:rsidRPr="004E5005">
        <w:rPr>
          <w:b/>
          <w:bCs/>
          <w:i/>
          <w:iCs/>
          <w:sz w:val="20"/>
          <w:szCs w:val="20"/>
        </w:rPr>
        <w:t>Figura X: Expressão de memória social no Contexto B.</w:t>
      </w:r>
    </w:p>
    <w:p w14:paraId="77C80B2D" w14:textId="40D55A11" w:rsidR="004E5005" w:rsidRDefault="004E5005" w:rsidP="004E5005">
      <w:pPr>
        <w:rPr>
          <w:sz w:val="20"/>
          <w:szCs w:val="20"/>
        </w:rPr>
      </w:pPr>
      <w:r w:rsidRPr="004E5005">
        <w:rPr>
          <w:sz w:val="20"/>
          <w:szCs w:val="20"/>
        </w:rPr>
        <w:t xml:space="preserve">Gráficos superiores representam o índice de reconhecimento social, calculado através da análise automática (A) e manual (B). Cada ponto representa um animal individual, e a linha contínua indica a média do grupo. A linha pontilhada em zero representa o nível do acaso. Gráficos inferiores ilustram o tempo total de investigação (em segundos) durante a fase de treino (vermelho) e teste (azul), conforme quantificado pelo método automático (C) e manual (D). As barras representam a média + EPM, com os pontos individuais sobrepostos. Os asteriscos indicam diferença estatisticamente significativa (p &lt; 0,05). Os dados foram analisados utilizando teste t de </w:t>
      </w:r>
      <w:proofErr w:type="spellStart"/>
      <w:r w:rsidRPr="004E5005">
        <w:rPr>
          <w:sz w:val="20"/>
          <w:szCs w:val="20"/>
        </w:rPr>
        <w:t>Student</w:t>
      </w:r>
      <w:proofErr w:type="spellEnd"/>
      <w:r w:rsidR="00C65393">
        <w:rPr>
          <w:sz w:val="20"/>
          <w:szCs w:val="20"/>
        </w:rPr>
        <w:t xml:space="preserve"> </w:t>
      </w:r>
      <w:r w:rsidR="00C65393">
        <w:rPr>
          <w:sz w:val="20"/>
          <w:szCs w:val="20"/>
        </w:rPr>
        <w:t>(Uma amostra para o IRS comparando com o valor hipotético de zero</w:t>
      </w:r>
      <w:r w:rsidR="00C65393">
        <w:rPr>
          <w:sz w:val="20"/>
          <w:szCs w:val="20"/>
        </w:rPr>
        <w:t>)</w:t>
      </w:r>
      <w:r w:rsidRPr="004E5005">
        <w:rPr>
          <w:sz w:val="20"/>
          <w:szCs w:val="20"/>
        </w:rPr>
        <w:t>.</w:t>
      </w:r>
    </w:p>
    <w:p w14:paraId="3F70E1E2" w14:textId="21B9279E" w:rsidR="004E5005" w:rsidRDefault="004E5005" w:rsidP="004E5005">
      <w:pPr>
        <w:rPr>
          <w:sz w:val="20"/>
          <w:szCs w:val="20"/>
        </w:rPr>
      </w:pPr>
    </w:p>
    <w:p w14:paraId="57319996" w14:textId="24DDEA62" w:rsidR="00C96804" w:rsidRDefault="00C96804" w:rsidP="004E5005">
      <w:pPr>
        <w:rPr>
          <w:sz w:val="20"/>
          <w:szCs w:val="20"/>
        </w:rPr>
      </w:pPr>
    </w:p>
    <w:p w14:paraId="4AFCC763" w14:textId="4A5EAB7D" w:rsidR="001B2C3E" w:rsidRDefault="001B2C3E" w:rsidP="0079009F">
      <w:pPr>
        <w:rPr>
          <w:b/>
          <w:bCs/>
        </w:rPr>
      </w:pPr>
      <w:r>
        <w:rPr>
          <w:b/>
          <w:bCs/>
        </w:rPr>
        <w:lastRenderedPageBreak/>
        <w:t>Existe uma correlação entre a análise automática e manual</w:t>
      </w:r>
    </w:p>
    <w:p w14:paraId="1D972529" w14:textId="32E9DE1A" w:rsidR="00B96AF0" w:rsidRPr="00B96AF0" w:rsidRDefault="00C65393" w:rsidP="00166C99">
      <w:pPr>
        <w:ind w:firstLine="720"/>
      </w:pPr>
      <w:r>
        <w:t>A fim de confirmar a validade dos resultados advindos da análise automática</w:t>
      </w:r>
      <w:r w:rsidR="00B96AF0" w:rsidRPr="00B96AF0">
        <w:t xml:space="preserve">, foi realizada uma correlação de Pearson </w:t>
      </w:r>
      <w:r>
        <w:t>para</w:t>
      </w:r>
      <w:r w:rsidR="00B96AF0" w:rsidRPr="00B96AF0">
        <w:t xml:space="preserve"> comparar os resultados obtidos através da análise manual</w:t>
      </w:r>
      <w:r>
        <w:t xml:space="preserve"> realizada por um avaliador experiente</w:t>
      </w:r>
      <w:r w:rsidR="00B96AF0" w:rsidRPr="00B96AF0">
        <w:t xml:space="preserve">, considerada o padrão-ouro. A avaliação foi conduzida </w:t>
      </w:r>
      <w:r>
        <w:t>nos</w:t>
      </w:r>
      <w:r w:rsidR="00B96AF0" w:rsidRPr="00B96AF0">
        <w:t xml:space="preserve"> dois cenários distintos</w:t>
      </w:r>
      <w:r>
        <w:t xml:space="preserve"> possíveis</w:t>
      </w:r>
      <w:r w:rsidR="00B96AF0" w:rsidRPr="00B96AF0">
        <w:t xml:space="preserve"> (Contexto A e Contexto B) e abrangeu tanto a fase de treino quanto a de teste, conforme visualmente representado nos gráficos de dispersão da imagem. Em todas as condições analisadas, foi encontrada uma correlação positiva, forte e estatisticamente significativa, indicando um alto grau de concordância entre os dois métodos.</w:t>
      </w:r>
    </w:p>
    <w:p w14:paraId="29D57520" w14:textId="64D2FCED" w:rsidR="00B96AF0" w:rsidRPr="00B96AF0" w:rsidRDefault="00B96AF0" w:rsidP="00166C99">
      <w:pPr>
        <w:ind w:firstLine="720"/>
      </w:pPr>
      <w:r w:rsidRPr="00B96AF0">
        <w:t xml:space="preserve">No Contexto A, a fase de treino (Gráfico </w:t>
      </w:r>
      <w:r w:rsidR="00030E25">
        <w:t>A</w:t>
      </w:r>
      <w:r w:rsidRPr="00B96AF0">
        <w:t xml:space="preserve">) já demonstrou uma correlação </w:t>
      </w:r>
      <w:r w:rsidR="00C65393">
        <w:t>alta</w:t>
      </w:r>
      <w:r w:rsidRPr="00B96AF0">
        <w:t xml:space="preserve"> entre os métodos automático e manual (r=0,9700; R2=0,9409; p</w:t>
      </w:r>
      <w:r>
        <w:t>&lt;</w:t>
      </w:r>
      <w:r w:rsidRPr="00B96AF0">
        <w:t xml:space="preserve">;0,0001). Na fase de teste subsequente (Gráfico </w:t>
      </w:r>
      <w:r w:rsidR="00030E25">
        <w:t>B</w:t>
      </w:r>
      <w:r w:rsidRPr="00B96AF0">
        <w:t xml:space="preserve">), a correlação permaneceu forte e altamente significativa (r=0,8782; R2=0,7712; p=0,0002), confirmando a capacidade de generalização do modelo. </w:t>
      </w:r>
    </w:p>
    <w:p w14:paraId="47B22F6A" w14:textId="7E76CCBE" w:rsidR="00B96AF0" w:rsidRPr="00B96AF0" w:rsidRDefault="00B96AF0" w:rsidP="00166C99">
      <w:pPr>
        <w:ind w:firstLine="720"/>
      </w:pPr>
      <w:r w:rsidRPr="00B96AF0">
        <w:t xml:space="preserve">A análise do Contexto B revelou um desempenho ainda mais notável. A fase de treino (Gráfico </w:t>
      </w:r>
      <w:r w:rsidR="00030E25">
        <w:t>C</w:t>
      </w:r>
      <w:r w:rsidRPr="00B96AF0">
        <w:t>) apresentou uma correlação muito forte (r=0,9684; R2=0,9377; p</w:t>
      </w:r>
      <w:r w:rsidR="00030E25">
        <w:t>&lt;</w:t>
      </w:r>
      <w:r w:rsidRPr="00B96AF0">
        <w:t xml:space="preserve">0,0001), similar à observada no Contexto A. Contudo, foi na fase de teste (Gráfico </w:t>
      </w:r>
      <w:r w:rsidR="00030E25">
        <w:t>D</w:t>
      </w:r>
      <w:r w:rsidRPr="00B96AF0">
        <w:t>) que a ferramenta demonstrou sua maior precisão, atingindo uma correlação quase perfeita (r=0,9917; R2=0,9835; p</w:t>
      </w:r>
      <w:r>
        <w:t xml:space="preserve"> &lt; </w:t>
      </w:r>
      <w:r w:rsidRPr="00B96AF0">
        <w:t>0,0001).</w:t>
      </w:r>
      <w:r w:rsidR="00030E25">
        <w:t xml:space="preserve"> Os dados ainda mostram um acoplamento ainda melhor quando vemos que </w:t>
      </w:r>
      <w:r w:rsidRPr="00B96AF0">
        <w:t>o R</w:t>
      </w:r>
      <w:r w:rsidRPr="00030E25">
        <w:rPr>
          <w:vertAlign w:val="superscript"/>
        </w:rPr>
        <w:t>2</w:t>
      </w:r>
      <w:r w:rsidRPr="00B96AF0">
        <w:t xml:space="preserve"> </w:t>
      </w:r>
      <w:r w:rsidR="00030E25">
        <w:t>indica</w:t>
      </w:r>
      <w:r w:rsidRPr="00B96AF0">
        <w:t xml:space="preserve"> que mais de 98% da variância dos dados manuais é prevista pelo método Behavython, sugerindo uma aplicabilidade e confiabilidade elevada</w:t>
      </w:r>
      <w:r w:rsidR="00030E25">
        <w:t>s</w:t>
      </w:r>
      <w:r w:rsidRPr="00B96AF0">
        <w:t>.</w:t>
      </w:r>
    </w:p>
    <w:p w14:paraId="69E9372F" w14:textId="59B81C80" w:rsidR="00B96AF0" w:rsidRPr="00B96AF0" w:rsidRDefault="00B96AF0" w:rsidP="00166C99">
      <w:pPr>
        <w:ind w:firstLine="720"/>
      </w:pPr>
      <w:r w:rsidRPr="00B96AF0">
        <w:t>Em conjunto, estes resultados validam o método de análise automática como uma alternativa precisa à análise manual. A consistência dos altos valores de correlação e a significância estatística em diferentes contextos e fases (treino e teste) sustentam a sua utilização como uma ferramenta eficaz, capaz de otimizar o processo de análise de dados, reduzindo o tempo e a potencial subjetividade associados ao método manual.</w:t>
      </w:r>
    </w:p>
    <w:p w14:paraId="0CC64D44" w14:textId="64215092" w:rsidR="008948BA" w:rsidRDefault="00C65393" w:rsidP="00C96804">
      <w:pPr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46C179F" wp14:editId="6D1CE5DA">
            <wp:extent cx="5943600" cy="3746500"/>
            <wp:effectExtent l="0" t="0" r="0" b="635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7521A" w14:textId="64930F2D" w:rsidR="00C96804" w:rsidRPr="00C96804" w:rsidRDefault="00C96804" w:rsidP="00C96804">
      <w:pPr>
        <w:rPr>
          <w:sz w:val="20"/>
          <w:szCs w:val="20"/>
        </w:rPr>
      </w:pPr>
      <w:r w:rsidRPr="00C96804">
        <w:rPr>
          <w:sz w:val="20"/>
          <w:szCs w:val="20"/>
        </w:rPr>
        <w:t xml:space="preserve">Figura X: </w:t>
      </w:r>
      <w:r w:rsidRPr="00C96804">
        <w:rPr>
          <w:sz w:val="20"/>
          <w:szCs w:val="20"/>
        </w:rPr>
        <w:t>Correlação entre os métodos de análise automático e manual.</w:t>
      </w:r>
    </w:p>
    <w:p w14:paraId="6808952C" w14:textId="668DB396" w:rsidR="00C96804" w:rsidRPr="00C96804" w:rsidRDefault="00C96804" w:rsidP="00C96804">
      <w:pPr>
        <w:rPr>
          <w:sz w:val="20"/>
          <w:szCs w:val="20"/>
        </w:rPr>
      </w:pPr>
      <w:r w:rsidRPr="00C96804">
        <w:rPr>
          <w:sz w:val="20"/>
          <w:szCs w:val="20"/>
        </w:rPr>
        <w:t xml:space="preserve">Gráficos de dispersão ilustrando a concordância entre o tempo de investigação (s) quantificado pelo método automático (eixo Y) e o método manual (eixo X). A análise foi realizada em duas condições experimentais distintas, Contexto A e Contexto B, e em duas fases, treino e teste. Os painéis detalham as correlações para: (A) Contexto A, fase de </w:t>
      </w:r>
      <w:r w:rsidR="00C65393">
        <w:rPr>
          <w:sz w:val="20"/>
          <w:szCs w:val="20"/>
        </w:rPr>
        <w:t>treino</w:t>
      </w:r>
      <w:r w:rsidRPr="00C96804">
        <w:rPr>
          <w:sz w:val="20"/>
          <w:szCs w:val="20"/>
        </w:rPr>
        <w:t xml:space="preserve">; (B) Contexto A, fase de </w:t>
      </w:r>
      <w:r w:rsidR="00030E25">
        <w:rPr>
          <w:sz w:val="20"/>
          <w:szCs w:val="20"/>
        </w:rPr>
        <w:t>t</w:t>
      </w:r>
      <w:r w:rsidR="00C65393">
        <w:rPr>
          <w:sz w:val="20"/>
          <w:szCs w:val="20"/>
        </w:rPr>
        <w:t>este</w:t>
      </w:r>
      <w:r w:rsidRPr="00C96804">
        <w:rPr>
          <w:sz w:val="20"/>
          <w:szCs w:val="20"/>
        </w:rPr>
        <w:t xml:space="preserve">; (C) Contexto B, fase de </w:t>
      </w:r>
      <w:r w:rsidR="00C65393">
        <w:rPr>
          <w:sz w:val="20"/>
          <w:szCs w:val="20"/>
        </w:rPr>
        <w:t>treino</w:t>
      </w:r>
      <w:r w:rsidRPr="00C96804">
        <w:rPr>
          <w:sz w:val="20"/>
          <w:szCs w:val="20"/>
        </w:rPr>
        <w:t xml:space="preserve">; e (D) Contexto B, fase de </w:t>
      </w:r>
      <w:r w:rsidR="00C65393">
        <w:rPr>
          <w:sz w:val="20"/>
          <w:szCs w:val="20"/>
        </w:rPr>
        <w:t>teste</w:t>
      </w:r>
      <w:r w:rsidRPr="00C96804">
        <w:rPr>
          <w:sz w:val="20"/>
          <w:szCs w:val="20"/>
        </w:rPr>
        <w:t>. Cada ponto representa um par de dados de um único animal, e a distribuição linear dos pontos indica uma forte correlação positiva entre as duas formas de análise.</w:t>
      </w:r>
    </w:p>
    <w:sectPr w:rsidR="00C96804" w:rsidRPr="00C96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A46"/>
    <w:rsid w:val="00004995"/>
    <w:rsid w:val="00030E25"/>
    <w:rsid w:val="00166C99"/>
    <w:rsid w:val="001B2C3E"/>
    <w:rsid w:val="001C260B"/>
    <w:rsid w:val="002154EB"/>
    <w:rsid w:val="00351B0C"/>
    <w:rsid w:val="00457A3D"/>
    <w:rsid w:val="00475149"/>
    <w:rsid w:val="004C7A39"/>
    <w:rsid w:val="004E5005"/>
    <w:rsid w:val="00620071"/>
    <w:rsid w:val="00712903"/>
    <w:rsid w:val="0079009F"/>
    <w:rsid w:val="00832D58"/>
    <w:rsid w:val="00842CE4"/>
    <w:rsid w:val="008948BA"/>
    <w:rsid w:val="00A62367"/>
    <w:rsid w:val="00B45A02"/>
    <w:rsid w:val="00B96AF0"/>
    <w:rsid w:val="00BA3825"/>
    <w:rsid w:val="00BF12AF"/>
    <w:rsid w:val="00C65393"/>
    <w:rsid w:val="00C96804"/>
    <w:rsid w:val="00CD5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EE94E"/>
  <w15:chartTrackingRefBased/>
  <w15:docId w15:val="{9294ACF4-32BB-40D3-90E2-387A03A4A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0071"/>
    <w:pPr>
      <w:spacing w:after="80" w:line="360" w:lineRule="auto"/>
      <w:jc w:val="both"/>
    </w:pPr>
    <w:rPr>
      <w:rFonts w:ascii="Arial" w:hAnsi="Arial"/>
      <w:color w:val="000000" w:themeColor="text1"/>
      <w:lang w:val="pt-BR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620071"/>
    <w:pPr>
      <w:keepNext/>
      <w:keepLines/>
      <w:spacing w:before="360"/>
      <w:outlineLvl w:val="0"/>
    </w:pPr>
    <w:rPr>
      <w:rFonts w:eastAsiaTheme="majorEastAsia" w:cstheme="majorBidi"/>
      <w:sz w:val="40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620071"/>
    <w:pPr>
      <w:keepNext/>
      <w:keepLines/>
      <w:spacing w:before="160"/>
      <w:outlineLvl w:val="1"/>
    </w:pPr>
    <w:rPr>
      <w:rFonts w:eastAsiaTheme="majorEastAsia" w:cstheme="majorBidi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D5A46"/>
    <w:pPr>
      <w:keepNext/>
      <w:keepLines/>
      <w:spacing w:before="16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D5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D5A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D5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D5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D5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D5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20071"/>
    <w:rPr>
      <w:rFonts w:ascii="Arial" w:eastAsiaTheme="majorEastAsia" w:hAnsi="Arial" w:cstheme="majorBidi"/>
      <w:color w:val="000000" w:themeColor="text1"/>
      <w:sz w:val="40"/>
      <w:szCs w:val="40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620071"/>
    <w:rPr>
      <w:rFonts w:ascii="Arial" w:eastAsiaTheme="majorEastAsia" w:hAnsi="Arial" w:cstheme="majorBidi"/>
      <w:color w:val="000000" w:themeColor="text1"/>
      <w:sz w:val="32"/>
      <w:szCs w:val="32"/>
      <w:lang w:val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D5A46"/>
    <w:rPr>
      <w:rFonts w:eastAsiaTheme="majorEastAsia" w:cstheme="majorBidi"/>
      <w:color w:val="2F5496" w:themeColor="accent1" w:themeShade="BF"/>
      <w:sz w:val="28"/>
      <w:szCs w:val="28"/>
      <w:lang w:val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D5A46"/>
    <w:rPr>
      <w:rFonts w:eastAsiaTheme="majorEastAsia" w:cstheme="majorBidi"/>
      <w:i/>
      <w:iCs/>
      <w:color w:val="2F5496" w:themeColor="accent1" w:themeShade="BF"/>
      <w:lang w:val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D5A46"/>
    <w:rPr>
      <w:rFonts w:eastAsiaTheme="majorEastAsia" w:cstheme="majorBidi"/>
      <w:color w:val="2F5496" w:themeColor="accent1" w:themeShade="BF"/>
      <w:lang w:val="pt-BR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D5A46"/>
    <w:rPr>
      <w:rFonts w:eastAsiaTheme="majorEastAsia" w:cstheme="majorBidi"/>
      <w:i/>
      <w:iCs/>
      <w:color w:val="595959" w:themeColor="text1" w:themeTint="A6"/>
      <w:lang w:val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D5A46"/>
    <w:rPr>
      <w:rFonts w:eastAsiaTheme="majorEastAsia" w:cstheme="majorBidi"/>
      <w:color w:val="595959" w:themeColor="text1" w:themeTint="A6"/>
      <w:lang w:val="pt-BR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D5A46"/>
    <w:rPr>
      <w:rFonts w:eastAsiaTheme="majorEastAsia" w:cstheme="majorBidi"/>
      <w:i/>
      <w:iCs/>
      <w:color w:val="272727" w:themeColor="text1" w:themeTint="D8"/>
      <w:lang w:val="pt-BR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D5A46"/>
    <w:rPr>
      <w:rFonts w:eastAsiaTheme="majorEastAsia" w:cstheme="majorBidi"/>
      <w:color w:val="272727" w:themeColor="text1" w:themeTint="D8"/>
      <w:lang w:val="pt-BR"/>
    </w:rPr>
  </w:style>
  <w:style w:type="paragraph" w:styleId="Ttulo">
    <w:name w:val="Title"/>
    <w:basedOn w:val="Normal"/>
    <w:next w:val="Normal"/>
    <w:link w:val="TtuloChar"/>
    <w:autoRedefine/>
    <w:uiPriority w:val="10"/>
    <w:qFormat/>
    <w:rsid w:val="00457A3D"/>
    <w:pPr>
      <w:spacing w:line="240" w:lineRule="auto"/>
      <w:contextualSpacing/>
    </w:pPr>
    <w:rPr>
      <w:rFonts w:eastAsiaTheme="majorEastAsia" w:cstheme="majorBidi"/>
      <w:spacing w:val="-10"/>
      <w:kern w:val="28"/>
      <w:sz w:val="28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7A3D"/>
    <w:rPr>
      <w:rFonts w:ascii="Arial" w:eastAsiaTheme="majorEastAsia" w:hAnsi="Arial" w:cstheme="majorBidi"/>
      <w:color w:val="000000" w:themeColor="text1"/>
      <w:spacing w:val="-10"/>
      <w:kern w:val="28"/>
      <w:sz w:val="28"/>
      <w:szCs w:val="56"/>
      <w:lang w:val="pt-BR"/>
    </w:rPr>
  </w:style>
  <w:style w:type="paragraph" w:styleId="Subttulo">
    <w:name w:val="Subtitle"/>
    <w:basedOn w:val="Normal"/>
    <w:next w:val="Normal"/>
    <w:link w:val="SubttuloChar"/>
    <w:autoRedefine/>
    <w:uiPriority w:val="11"/>
    <w:qFormat/>
    <w:rsid w:val="00457A3D"/>
    <w:pPr>
      <w:numPr>
        <w:ilvl w:val="1"/>
      </w:numPr>
    </w:pPr>
    <w:rPr>
      <w:rFonts w:eastAsiaTheme="majorEastAsia" w:cstheme="majorBidi"/>
      <w:spacing w:val="15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57A3D"/>
    <w:rPr>
      <w:rFonts w:ascii="Arial" w:eastAsiaTheme="majorEastAsia" w:hAnsi="Arial" w:cstheme="majorBidi"/>
      <w:color w:val="000000" w:themeColor="text1"/>
      <w:spacing w:val="15"/>
      <w:szCs w:val="28"/>
      <w:lang w:val="pt-BR"/>
    </w:rPr>
  </w:style>
  <w:style w:type="paragraph" w:styleId="Citao">
    <w:name w:val="Quote"/>
    <w:basedOn w:val="Normal"/>
    <w:next w:val="Normal"/>
    <w:link w:val="CitaoChar"/>
    <w:autoRedefine/>
    <w:uiPriority w:val="29"/>
    <w:qFormat/>
    <w:rsid w:val="00620071"/>
    <w:pPr>
      <w:spacing w:before="160"/>
      <w:jc w:val="center"/>
    </w:pPr>
    <w:rPr>
      <w:i/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620071"/>
    <w:rPr>
      <w:rFonts w:ascii="Arial" w:hAnsi="Arial"/>
      <w:i/>
      <w:iCs/>
      <w:color w:val="000000" w:themeColor="text1"/>
      <w:sz w:val="20"/>
      <w:lang w:val="pt-BR"/>
    </w:rPr>
  </w:style>
  <w:style w:type="paragraph" w:styleId="PargrafodaLista">
    <w:name w:val="List Paragraph"/>
    <w:basedOn w:val="Normal"/>
    <w:uiPriority w:val="34"/>
    <w:rsid w:val="00CD5A46"/>
    <w:pPr>
      <w:ind w:left="720"/>
      <w:contextualSpacing/>
    </w:pPr>
  </w:style>
  <w:style w:type="character" w:styleId="nfaseIntensa">
    <w:name w:val="Intense Emphasis"/>
    <w:basedOn w:val="Fontepargpadro"/>
    <w:uiPriority w:val="21"/>
    <w:rsid w:val="00CD5A4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rsid w:val="00CD5A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D5A46"/>
    <w:rPr>
      <w:i/>
      <w:iCs/>
      <w:color w:val="2F5496" w:themeColor="accent1" w:themeShade="BF"/>
      <w:lang w:val="pt-BR"/>
    </w:rPr>
  </w:style>
  <w:style w:type="character" w:styleId="RefernciaIntensa">
    <w:name w:val="Intense Reference"/>
    <w:basedOn w:val="Fontepargpadro"/>
    <w:uiPriority w:val="32"/>
    <w:rsid w:val="00CD5A46"/>
    <w:rPr>
      <w:b/>
      <w:bCs/>
      <w:smallCaps/>
      <w:color w:val="2F5496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842CE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59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7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14724:2025 - Author" Version="4"/>
</file>

<file path=customXml/itemProps1.xml><?xml version="1.0" encoding="utf-8"?>
<ds:datastoreItem xmlns:ds="http://schemas.openxmlformats.org/officeDocument/2006/customXml" ds:itemID="{A3D81A59-A3A0-4646-9D72-AFBD8C41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6</Pages>
  <Words>1178</Words>
  <Characters>6364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</dc:creator>
  <cp:keywords/>
  <dc:description/>
  <cp:lastModifiedBy>Matheus Costa</cp:lastModifiedBy>
  <cp:revision>9</cp:revision>
  <dcterms:created xsi:type="dcterms:W3CDTF">2025-10-19T14:16:00Z</dcterms:created>
  <dcterms:modified xsi:type="dcterms:W3CDTF">2025-10-20T13:38:00Z</dcterms:modified>
</cp:coreProperties>
</file>