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56E6F" w14:textId="77777777" w:rsidR="005E4CC1" w:rsidRDefault="005E4CC1" w:rsidP="005E4CC1">
      <w:pPr>
        <w:widowControl w:val="0"/>
        <w:spacing w:line="278" w:lineRule="auto"/>
        <w:contextualSpacing/>
        <w:jc w:val="center"/>
      </w:pPr>
    </w:p>
    <w:p w14:paraId="16F0FD4B" w14:textId="77777777" w:rsidR="005E4CC1" w:rsidRDefault="005E4CC1" w:rsidP="005E4CC1">
      <w:pPr>
        <w:widowControl w:val="0"/>
        <w:spacing w:line="278" w:lineRule="auto"/>
        <w:contextualSpacing/>
        <w:jc w:val="center"/>
      </w:pPr>
    </w:p>
    <w:p w14:paraId="312143E4" w14:textId="77777777" w:rsidR="005E4CC1" w:rsidRDefault="005E4CC1" w:rsidP="005E4CC1">
      <w:pPr>
        <w:widowControl w:val="0"/>
        <w:spacing w:line="278" w:lineRule="auto"/>
        <w:contextualSpacing/>
        <w:jc w:val="center"/>
      </w:pPr>
    </w:p>
    <w:p w14:paraId="107C4DEE" w14:textId="77777777" w:rsidR="005E4CC1" w:rsidRDefault="005E4CC1" w:rsidP="005E4CC1">
      <w:pPr>
        <w:widowControl w:val="0"/>
        <w:spacing w:line="278" w:lineRule="auto"/>
        <w:contextualSpacing/>
        <w:jc w:val="center"/>
      </w:pPr>
    </w:p>
    <w:p w14:paraId="55C2472C" w14:textId="77777777" w:rsidR="005E4CC1" w:rsidRDefault="005E4CC1" w:rsidP="005E4CC1">
      <w:pPr>
        <w:widowControl w:val="0"/>
        <w:spacing w:line="278" w:lineRule="auto"/>
        <w:contextualSpacing/>
        <w:jc w:val="center"/>
      </w:pPr>
    </w:p>
    <w:p w14:paraId="14D12FF8" w14:textId="77777777" w:rsidR="005E4CC1" w:rsidRDefault="005E4CC1" w:rsidP="005E4CC1">
      <w:pPr>
        <w:widowControl w:val="0"/>
        <w:spacing w:line="278" w:lineRule="auto"/>
        <w:contextualSpacing/>
        <w:jc w:val="center"/>
      </w:pPr>
    </w:p>
    <w:p w14:paraId="3CD0B945" w14:textId="77777777" w:rsidR="005E4CC1" w:rsidRDefault="005E4CC1" w:rsidP="005E4CC1">
      <w:pPr>
        <w:widowControl w:val="0"/>
        <w:spacing w:line="278" w:lineRule="auto"/>
        <w:contextualSpacing/>
        <w:jc w:val="center"/>
      </w:pPr>
    </w:p>
    <w:p w14:paraId="4409DD41" w14:textId="77777777" w:rsidR="005E4CC1" w:rsidRDefault="005E4CC1" w:rsidP="005E4CC1">
      <w:pPr>
        <w:widowControl w:val="0"/>
        <w:spacing w:line="278" w:lineRule="auto"/>
        <w:contextualSpacing/>
        <w:jc w:val="center"/>
      </w:pPr>
    </w:p>
    <w:p w14:paraId="633FF856" w14:textId="77777777" w:rsidR="005E4CC1" w:rsidRDefault="005E4CC1" w:rsidP="005E4CC1">
      <w:pPr>
        <w:widowControl w:val="0"/>
        <w:spacing w:line="278" w:lineRule="auto"/>
        <w:contextualSpacing/>
        <w:jc w:val="center"/>
      </w:pPr>
    </w:p>
    <w:p w14:paraId="791646C4" w14:textId="77777777" w:rsidR="005E4CC1" w:rsidRDefault="005E4CC1" w:rsidP="005E4CC1">
      <w:pPr>
        <w:widowControl w:val="0"/>
        <w:spacing w:line="278" w:lineRule="auto"/>
        <w:contextualSpacing/>
        <w:jc w:val="center"/>
      </w:pPr>
    </w:p>
    <w:p w14:paraId="00E2CAAD" w14:textId="77777777" w:rsidR="005E4CC1" w:rsidRDefault="005E4CC1" w:rsidP="005E4CC1">
      <w:pPr>
        <w:widowControl w:val="0"/>
        <w:spacing w:line="278" w:lineRule="auto"/>
        <w:contextualSpacing/>
        <w:jc w:val="center"/>
      </w:pPr>
    </w:p>
    <w:p w14:paraId="080EBE9E" w14:textId="77777777" w:rsidR="005E4CC1" w:rsidRDefault="005E4CC1" w:rsidP="005E4CC1">
      <w:pPr>
        <w:widowControl w:val="0"/>
        <w:spacing w:line="278" w:lineRule="auto"/>
        <w:contextualSpacing/>
        <w:jc w:val="center"/>
      </w:pPr>
    </w:p>
    <w:p w14:paraId="7F8ACD04" w14:textId="77777777" w:rsidR="00042AF3" w:rsidRPr="00042AF3" w:rsidRDefault="00042AF3" w:rsidP="00042AF3">
      <w:pPr>
        <w:widowControl w:val="0"/>
        <w:spacing w:line="278" w:lineRule="auto"/>
        <w:contextualSpacing/>
        <w:jc w:val="center"/>
      </w:pPr>
      <w:r w:rsidRPr="00042AF3">
        <w:t>Hipocampo dorsal e o componente espacial da memória social: implicações para o reconhecimento social</w:t>
      </w:r>
    </w:p>
    <w:p w14:paraId="568E14D3" w14:textId="77777777" w:rsidR="005E4CC1" w:rsidRDefault="005E4CC1" w:rsidP="005E4CC1">
      <w:pPr>
        <w:widowControl w:val="0"/>
        <w:spacing w:line="278" w:lineRule="auto"/>
        <w:contextualSpacing/>
        <w:jc w:val="center"/>
      </w:pPr>
    </w:p>
    <w:p w14:paraId="5C5A4912" w14:textId="77777777" w:rsidR="005E4CC1" w:rsidRDefault="005E4CC1" w:rsidP="005E4CC1">
      <w:pPr>
        <w:widowControl w:val="0"/>
        <w:spacing w:line="278" w:lineRule="auto"/>
        <w:contextualSpacing/>
        <w:jc w:val="center"/>
      </w:pPr>
    </w:p>
    <w:p w14:paraId="62A48D23" w14:textId="77777777" w:rsidR="005E4CC1" w:rsidRDefault="005E4CC1" w:rsidP="005E4CC1">
      <w:pPr>
        <w:widowControl w:val="0"/>
        <w:spacing w:line="278" w:lineRule="auto"/>
        <w:contextualSpacing/>
        <w:jc w:val="center"/>
      </w:pPr>
    </w:p>
    <w:p w14:paraId="46E33478" w14:textId="77777777" w:rsidR="005E4CC1" w:rsidRDefault="005E4CC1" w:rsidP="005E4CC1">
      <w:pPr>
        <w:widowControl w:val="0"/>
        <w:spacing w:line="278" w:lineRule="auto"/>
        <w:contextualSpacing/>
        <w:jc w:val="center"/>
      </w:pPr>
    </w:p>
    <w:p w14:paraId="38976170" w14:textId="77777777" w:rsidR="005E4CC1" w:rsidRDefault="005E4CC1" w:rsidP="005E4CC1">
      <w:pPr>
        <w:widowControl w:val="0"/>
        <w:spacing w:line="278" w:lineRule="auto"/>
        <w:contextualSpacing/>
        <w:jc w:val="center"/>
      </w:pPr>
    </w:p>
    <w:p w14:paraId="6D155C71" w14:textId="77777777" w:rsidR="005E4CC1" w:rsidRDefault="005E4CC1" w:rsidP="005E4CC1">
      <w:pPr>
        <w:widowControl w:val="0"/>
        <w:spacing w:line="278" w:lineRule="auto"/>
        <w:contextualSpacing/>
        <w:jc w:val="center"/>
      </w:pPr>
    </w:p>
    <w:p w14:paraId="7507BF99" w14:textId="77777777" w:rsidR="005E4CC1" w:rsidRDefault="005E4CC1" w:rsidP="005E4CC1">
      <w:pPr>
        <w:widowControl w:val="0"/>
        <w:spacing w:line="278" w:lineRule="auto"/>
        <w:contextualSpacing/>
        <w:jc w:val="center"/>
      </w:pPr>
    </w:p>
    <w:p w14:paraId="6492CDF9" w14:textId="77777777" w:rsidR="005E4CC1" w:rsidRDefault="005E4CC1" w:rsidP="005E4CC1">
      <w:pPr>
        <w:widowControl w:val="0"/>
        <w:spacing w:line="278" w:lineRule="auto"/>
        <w:contextualSpacing/>
        <w:jc w:val="center"/>
      </w:pPr>
    </w:p>
    <w:p w14:paraId="3F00548B" w14:textId="77777777" w:rsidR="005E4CC1" w:rsidRDefault="005E4CC1" w:rsidP="005E4CC1">
      <w:pPr>
        <w:widowControl w:val="0"/>
        <w:spacing w:line="278" w:lineRule="auto"/>
        <w:contextualSpacing/>
        <w:jc w:val="center"/>
      </w:pPr>
    </w:p>
    <w:p w14:paraId="55A9B359" w14:textId="77777777" w:rsidR="005E4CC1" w:rsidRDefault="005E4CC1" w:rsidP="005E4CC1">
      <w:pPr>
        <w:widowControl w:val="0"/>
        <w:spacing w:line="278" w:lineRule="auto"/>
        <w:contextualSpacing/>
        <w:jc w:val="center"/>
      </w:pPr>
    </w:p>
    <w:p w14:paraId="6EE1E73D" w14:textId="77777777" w:rsidR="005E4CC1" w:rsidRDefault="005E4CC1" w:rsidP="005E4CC1">
      <w:pPr>
        <w:widowControl w:val="0"/>
        <w:spacing w:line="278" w:lineRule="auto"/>
        <w:contextualSpacing/>
        <w:jc w:val="center"/>
      </w:pPr>
    </w:p>
    <w:p w14:paraId="6C306B7A" w14:textId="77777777" w:rsidR="005E4CC1" w:rsidRDefault="005E4CC1" w:rsidP="005E4CC1">
      <w:pPr>
        <w:widowControl w:val="0"/>
        <w:spacing w:line="278" w:lineRule="auto"/>
        <w:contextualSpacing/>
        <w:jc w:val="center"/>
      </w:pPr>
    </w:p>
    <w:p w14:paraId="1E316873" w14:textId="77777777" w:rsidR="005E4CC1" w:rsidRDefault="005E4CC1" w:rsidP="005E4CC1">
      <w:pPr>
        <w:widowControl w:val="0"/>
        <w:spacing w:line="278" w:lineRule="auto"/>
        <w:contextualSpacing/>
        <w:jc w:val="center"/>
      </w:pPr>
    </w:p>
    <w:p w14:paraId="2EAF5704" w14:textId="77777777" w:rsidR="005E4CC1" w:rsidRDefault="005E4CC1" w:rsidP="005E4CC1">
      <w:pPr>
        <w:widowControl w:val="0"/>
        <w:spacing w:line="278" w:lineRule="auto"/>
        <w:contextualSpacing/>
        <w:jc w:val="center"/>
      </w:pPr>
    </w:p>
    <w:p w14:paraId="71D94614" w14:textId="77777777" w:rsidR="005E4CC1" w:rsidRDefault="005E4CC1" w:rsidP="005E4CC1">
      <w:pPr>
        <w:widowControl w:val="0"/>
        <w:spacing w:line="278" w:lineRule="auto"/>
        <w:contextualSpacing/>
        <w:jc w:val="center"/>
      </w:pPr>
    </w:p>
    <w:p w14:paraId="55CC493D" w14:textId="77777777" w:rsidR="005E4CC1" w:rsidRDefault="005E4CC1" w:rsidP="005E4CC1">
      <w:pPr>
        <w:widowControl w:val="0"/>
        <w:spacing w:line="278" w:lineRule="auto"/>
        <w:contextualSpacing/>
        <w:jc w:val="center"/>
      </w:pPr>
    </w:p>
    <w:p w14:paraId="5EABEA47" w14:textId="77777777" w:rsidR="005E4CC1" w:rsidRDefault="005E4CC1" w:rsidP="005E4CC1">
      <w:pPr>
        <w:widowControl w:val="0"/>
        <w:spacing w:line="278" w:lineRule="auto"/>
        <w:contextualSpacing/>
        <w:jc w:val="center"/>
      </w:pPr>
    </w:p>
    <w:p w14:paraId="4A3F6A40" w14:textId="77777777" w:rsidR="005E4CC1" w:rsidRDefault="005E4CC1" w:rsidP="005E4CC1">
      <w:pPr>
        <w:widowControl w:val="0"/>
        <w:spacing w:line="278" w:lineRule="auto"/>
        <w:contextualSpacing/>
        <w:jc w:val="center"/>
      </w:pPr>
    </w:p>
    <w:p w14:paraId="7A62A704" w14:textId="77777777" w:rsidR="005E4CC1" w:rsidRDefault="005E4CC1" w:rsidP="005E4CC1">
      <w:pPr>
        <w:widowControl w:val="0"/>
        <w:spacing w:line="278" w:lineRule="auto"/>
        <w:contextualSpacing/>
        <w:jc w:val="center"/>
      </w:pPr>
    </w:p>
    <w:p w14:paraId="77988947" w14:textId="77777777" w:rsidR="005E4CC1" w:rsidRDefault="005E4CC1" w:rsidP="005E4CC1">
      <w:pPr>
        <w:widowControl w:val="0"/>
        <w:spacing w:line="278" w:lineRule="auto"/>
        <w:contextualSpacing/>
        <w:jc w:val="center"/>
      </w:pPr>
    </w:p>
    <w:p w14:paraId="2F17B97E" w14:textId="77777777" w:rsidR="005E4CC1" w:rsidRDefault="005E4CC1" w:rsidP="005E4CC1">
      <w:pPr>
        <w:widowControl w:val="0"/>
        <w:spacing w:line="278" w:lineRule="auto"/>
        <w:contextualSpacing/>
        <w:jc w:val="center"/>
      </w:pPr>
    </w:p>
    <w:p w14:paraId="2D6C4230" w14:textId="77777777" w:rsidR="005E4CC1" w:rsidRDefault="005E4CC1" w:rsidP="005E4CC1">
      <w:pPr>
        <w:widowControl w:val="0"/>
        <w:spacing w:line="278" w:lineRule="auto"/>
        <w:contextualSpacing/>
        <w:jc w:val="center"/>
      </w:pPr>
    </w:p>
    <w:p w14:paraId="3AD8DEB9" w14:textId="77777777" w:rsidR="005E4CC1" w:rsidRDefault="005E4CC1" w:rsidP="005E4CC1">
      <w:pPr>
        <w:widowControl w:val="0"/>
        <w:spacing w:line="278" w:lineRule="auto"/>
        <w:contextualSpacing/>
        <w:jc w:val="center"/>
      </w:pPr>
    </w:p>
    <w:p w14:paraId="6F2985C8" w14:textId="77777777" w:rsidR="005E4CC1" w:rsidRDefault="005E4CC1" w:rsidP="005E4CC1">
      <w:pPr>
        <w:widowControl w:val="0"/>
        <w:spacing w:line="278" w:lineRule="auto"/>
        <w:contextualSpacing/>
        <w:jc w:val="center"/>
      </w:pPr>
    </w:p>
    <w:p w14:paraId="01E34B70" w14:textId="77777777" w:rsidR="005E4CC1" w:rsidRDefault="005E4CC1" w:rsidP="005E4CC1">
      <w:pPr>
        <w:widowControl w:val="0"/>
        <w:spacing w:line="278" w:lineRule="auto"/>
        <w:contextualSpacing/>
        <w:jc w:val="center"/>
      </w:pPr>
    </w:p>
    <w:p w14:paraId="13B2AFAF" w14:textId="77777777" w:rsidR="005E4CC1" w:rsidRDefault="005E4CC1" w:rsidP="005E4CC1">
      <w:pPr>
        <w:widowControl w:val="0"/>
        <w:spacing w:line="278" w:lineRule="auto"/>
        <w:contextualSpacing/>
        <w:jc w:val="center"/>
      </w:pPr>
    </w:p>
    <w:p w14:paraId="36E9B9DD" w14:textId="77777777" w:rsidR="005E4CC1" w:rsidRDefault="005E4CC1" w:rsidP="005E4CC1">
      <w:pPr>
        <w:widowControl w:val="0"/>
        <w:spacing w:line="278" w:lineRule="auto"/>
        <w:contextualSpacing/>
        <w:jc w:val="center"/>
      </w:pPr>
    </w:p>
    <w:p w14:paraId="61B61038" w14:textId="77777777" w:rsidR="005E4CC1" w:rsidRDefault="005E4CC1" w:rsidP="005E4CC1">
      <w:pPr>
        <w:widowControl w:val="0"/>
        <w:spacing w:line="278" w:lineRule="auto"/>
        <w:contextualSpacing/>
        <w:jc w:val="center"/>
      </w:pPr>
      <w:r>
        <w:t>FOLHA DE ROSTO</w:t>
      </w:r>
    </w:p>
    <w:p w14:paraId="2D70F3D7" w14:textId="77777777" w:rsidR="005E4CC1" w:rsidRDefault="005E4CC1" w:rsidP="005E4CC1">
      <w:pPr>
        <w:widowControl w:val="0"/>
        <w:spacing w:line="278" w:lineRule="auto"/>
        <w:contextualSpacing/>
        <w:jc w:val="center"/>
      </w:pPr>
    </w:p>
    <w:p w14:paraId="053B1AFC" w14:textId="77777777" w:rsidR="005E4CC1" w:rsidRDefault="005E4CC1" w:rsidP="005E4CC1">
      <w:pPr>
        <w:widowControl w:val="0"/>
        <w:spacing w:line="278" w:lineRule="auto"/>
        <w:contextualSpacing/>
        <w:jc w:val="center"/>
      </w:pPr>
    </w:p>
    <w:p w14:paraId="1BE31129" w14:textId="77777777" w:rsidR="005E4CC1" w:rsidRDefault="005E4CC1" w:rsidP="005E4CC1">
      <w:pPr>
        <w:widowControl w:val="0"/>
        <w:spacing w:line="278" w:lineRule="auto"/>
        <w:contextualSpacing/>
        <w:jc w:val="center"/>
      </w:pPr>
    </w:p>
    <w:p w14:paraId="740148E1" w14:textId="77777777" w:rsidR="005E4CC1" w:rsidRDefault="005E4CC1" w:rsidP="005E4CC1">
      <w:pPr>
        <w:widowControl w:val="0"/>
        <w:spacing w:line="278" w:lineRule="auto"/>
        <w:contextualSpacing/>
        <w:jc w:val="center"/>
      </w:pPr>
    </w:p>
    <w:p w14:paraId="29C1EF32" w14:textId="77777777" w:rsidR="005E4CC1" w:rsidRDefault="005E4CC1" w:rsidP="005E4CC1">
      <w:pPr>
        <w:widowControl w:val="0"/>
        <w:spacing w:line="278" w:lineRule="auto"/>
        <w:contextualSpacing/>
        <w:jc w:val="center"/>
      </w:pPr>
    </w:p>
    <w:p w14:paraId="3BE2B1EF" w14:textId="77777777" w:rsidR="005E4CC1" w:rsidRDefault="005E4CC1" w:rsidP="005E4CC1">
      <w:pPr>
        <w:widowControl w:val="0"/>
        <w:spacing w:line="278" w:lineRule="auto"/>
        <w:contextualSpacing/>
        <w:jc w:val="center"/>
      </w:pPr>
    </w:p>
    <w:p w14:paraId="27A2B072" w14:textId="77777777" w:rsidR="005E4CC1" w:rsidRDefault="005E4CC1" w:rsidP="005E4CC1">
      <w:pPr>
        <w:widowControl w:val="0"/>
        <w:spacing w:line="278" w:lineRule="auto"/>
        <w:contextualSpacing/>
        <w:jc w:val="center"/>
      </w:pPr>
    </w:p>
    <w:p w14:paraId="6F8A3B64" w14:textId="77777777" w:rsidR="005E4CC1" w:rsidRDefault="005E4CC1" w:rsidP="005E4CC1">
      <w:pPr>
        <w:widowControl w:val="0"/>
        <w:spacing w:line="278" w:lineRule="auto"/>
        <w:contextualSpacing/>
        <w:jc w:val="center"/>
      </w:pPr>
    </w:p>
    <w:p w14:paraId="40977FEB" w14:textId="77777777" w:rsidR="005E4CC1" w:rsidRDefault="005E4CC1" w:rsidP="005E4CC1">
      <w:pPr>
        <w:widowControl w:val="0"/>
        <w:spacing w:line="278" w:lineRule="auto"/>
        <w:contextualSpacing/>
        <w:jc w:val="center"/>
      </w:pPr>
    </w:p>
    <w:p w14:paraId="6BCD0F8F" w14:textId="77777777" w:rsidR="005E4CC1" w:rsidRDefault="005E4CC1" w:rsidP="005E4CC1">
      <w:pPr>
        <w:widowControl w:val="0"/>
        <w:spacing w:line="278" w:lineRule="auto"/>
        <w:contextualSpacing/>
        <w:jc w:val="center"/>
      </w:pPr>
    </w:p>
    <w:p w14:paraId="48DA6AEC" w14:textId="77777777" w:rsidR="005E4CC1" w:rsidRDefault="005E4CC1" w:rsidP="005E4CC1">
      <w:pPr>
        <w:widowControl w:val="0"/>
        <w:spacing w:line="278" w:lineRule="auto"/>
        <w:contextualSpacing/>
        <w:jc w:val="center"/>
      </w:pPr>
    </w:p>
    <w:p w14:paraId="2D53B0CB" w14:textId="77777777" w:rsidR="005E4CC1" w:rsidRDefault="005E4CC1" w:rsidP="005E4CC1">
      <w:pPr>
        <w:widowControl w:val="0"/>
        <w:spacing w:line="278" w:lineRule="auto"/>
        <w:contextualSpacing/>
        <w:jc w:val="center"/>
      </w:pPr>
    </w:p>
    <w:p w14:paraId="1168FF16" w14:textId="77777777" w:rsidR="005E4CC1" w:rsidRDefault="005E4CC1" w:rsidP="005E4CC1">
      <w:pPr>
        <w:widowControl w:val="0"/>
        <w:spacing w:line="278" w:lineRule="auto"/>
        <w:contextualSpacing/>
        <w:jc w:val="center"/>
      </w:pPr>
    </w:p>
    <w:p w14:paraId="43168943" w14:textId="77777777" w:rsidR="005E4CC1" w:rsidRDefault="005E4CC1" w:rsidP="005E4CC1">
      <w:pPr>
        <w:widowControl w:val="0"/>
        <w:spacing w:line="278" w:lineRule="auto"/>
        <w:contextualSpacing/>
        <w:jc w:val="center"/>
      </w:pPr>
    </w:p>
    <w:p w14:paraId="5F74D6FC" w14:textId="77777777" w:rsidR="005E4CC1" w:rsidRDefault="005E4CC1" w:rsidP="005E4CC1">
      <w:pPr>
        <w:widowControl w:val="0"/>
        <w:spacing w:line="278" w:lineRule="auto"/>
        <w:contextualSpacing/>
        <w:jc w:val="center"/>
      </w:pPr>
    </w:p>
    <w:p w14:paraId="60752064" w14:textId="77777777" w:rsidR="005E4CC1" w:rsidRDefault="005E4CC1" w:rsidP="005E4CC1">
      <w:pPr>
        <w:widowControl w:val="0"/>
        <w:spacing w:line="278" w:lineRule="auto"/>
        <w:contextualSpacing/>
        <w:jc w:val="center"/>
      </w:pPr>
    </w:p>
    <w:p w14:paraId="2D7B3F69" w14:textId="77777777" w:rsidR="005E4CC1" w:rsidRDefault="005E4CC1" w:rsidP="005E4CC1">
      <w:pPr>
        <w:widowControl w:val="0"/>
        <w:spacing w:line="278" w:lineRule="auto"/>
        <w:contextualSpacing/>
        <w:jc w:val="center"/>
      </w:pPr>
    </w:p>
    <w:p w14:paraId="66143790" w14:textId="77777777" w:rsidR="005E4CC1" w:rsidRDefault="005E4CC1" w:rsidP="005E4CC1">
      <w:pPr>
        <w:widowControl w:val="0"/>
        <w:spacing w:line="278" w:lineRule="auto"/>
        <w:contextualSpacing/>
        <w:jc w:val="center"/>
      </w:pPr>
    </w:p>
    <w:p w14:paraId="31C1280B" w14:textId="77777777" w:rsidR="005E4CC1" w:rsidRDefault="005E4CC1" w:rsidP="005E4CC1">
      <w:pPr>
        <w:widowControl w:val="0"/>
        <w:spacing w:line="278" w:lineRule="auto"/>
        <w:contextualSpacing/>
        <w:jc w:val="center"/>
      </w:pPr>
    </w:p>
    <w:p w14:paraId="181CBE32" w14:textId="77777777" w:rsidR="005E4CC1" w:rsidRDefault="005E4CC1" w:rsidP="005E4CC1">
      <w:pPr>
        <w:widowControl w:val="0"/>
        <w:spacing w:line="278" w:lineRule="auto"/>
        <w:contextualSpacing/>
        <w:jc w:val="center"/>
      </w:pPr>
    </w:p>
    <w:p w14:paraId="5A225A0B" w14:textId="77777777" w:rsidR="005E4CC1" w:rsidRDefault="005E4CC1" w:rsidP="005E4CC1">
      <w:pPr>
        <w:widowControl w:val="0"/>
        <w:spacing w:line="278" w:lineRule="auto"/>
        <w:contextualSpacing/>
        <w:jc w:val="center"/>
      </w:pPr>
    </w:p>
    <w:p w14:paraId="5CBE7B89" w14:textId="77777777" w:rsidR="005E4CC1" w:rsidRDefault="005E4CC1" w:rsidP="005E4CC1">
      <w:pPr>
        <w:widowControl w:val="0"/>
        <w:spacing w:line="278" w:lineRule="auto"/>
        <w:contextualSpacing/>
        <w:jc w:val="center"/>
      </w:pPr>
    </w:p>
    <w:p w14:paraId="23557358" w14:textId="77777777" w:rsidR="005E4CC1" w:rsidRDefault="005E4CC1" w:rsidP="005E4CC1">
      <w:pPr>
        <w:widowControl w:val="0"/>
        <w:spacing w:line="278" w:lineRule="auto"/>
        <w:contextualSpacing/>
        <w:jc w:val="center"/>
      </w:pPr>
    </w:p>
    <w:p w14:paraId="6F3DC62A" w14:textId="77777777" w:rsidR="005E4CC1" w:rsidRDefault="005E4CC1" w:rsidP="005E4CC1">
      <w:pPr>
        <w:widowControl w:val="0"/>
        <w:spacing w:line="278" w:lineRule="auto"/>
        <w:contextualSpacing/>
        <w:jc w:val="center"/>
      </w:pPr>
    </w:p>
    <w:p w14:paraId="7ADA36A5" w14:textId="77777777" w:rsidR="005E4CC1" w:rsidRDefault="005E4CC1" w:rsidP="005E4CC1">
      <w:pPr>
        <w:widowControl w:val="0"/>
        <w:spacing w:line="278" w:lineRule="auto"/>
        <w:contextualSpacing/>
        <w:jc w:val="center"/>
      </w:pPr>
    </w:p>
    <w:p w14:paraId="6AC07352" w14:textId="77777777" w:rsidR="005E4CC1" w:rsidRDefault="005E4CC1" w:rsidP="005E4CC1">
      <w:pPr>
        <w:widowControl w:val="0"/>
        <w:spacing w:line="278" w:lineRule="auto"/>
        <w:contextualSpacing/>
        <w:jc w:val="center"/>
      </w:pPr>
    </w:p>
    <w:p w14:paraId="65BB6325" w14:textId="77777777" w:rsidR="005E4CC1" w:rsidRDefault="005E4CC1" w:rsidP="005E4CC1">
      <w:pPr>
        <w:widowControl w:val="0"/>
        <w:spacing w:line="278" w:lineRule="auto"/>
        <w:contextualSpacing/>
        <w:jc w:val="center"/>
      </w:pPr>
    </w:p>
    <w:p w14:paraId="42943577" w14:textId="77777777" w:rsidR="005E4CC1" w:rsidRDefault="005E4CC1" w:rsidP="005E4CC1">
      <w:pPr>
        <w:widowControl w:val="0"/>
        <w:spacing w:line="278" w:lineRule="auto"/>
        <w:contextualSpacing/>
        <w:jc w:val="center"/>
      </w:pPr>
    </w:p>
    <w:p w14:paraId="3E26C5CD" w14:textId="77777777" w:rsidR="005E4CC1" w:rsidRDefault="005E4CC1" w:rsidP="005E4CC1">
      <w:pPr>
        <w:widowControl w:val="0"/>
        <w:spacing w:line="278" w:lineRule="auto"/>
        <w:contextualSpacing/>
        <w:jc w:val="center"/>
      </w:pPr>
    </w:p>
    <w:p w14:paraId="562A6060" w14:textId="77777777" w:rsidR="005E4CC1" w:rsidRDefault="005E4CC1" w:rsidP="005E4CC1">
      <w:pPr>
        <w:widowControl w:val="0"/>
        <w:spacing w:line="278" w:lineRule="auto"/>
        <w:contextualSpacing/>
        <w:jc w:val="center"/>
      </w:pPr>
    </w:p>
    <w:p w14:paraId="0FC6E265" w14:textId="77777777" w:rsidR="005E4CC1" w:rsidRDefault="005E4CC1" w:rsidP="005E4CC1">
      <w:pPr>
        <w:widowControl w:val="0"/>
        <w:spacing w:line="278" w:lineRule="auto"/>
        <w:contextualSpacing/>
        <w:jc w:val="center"/>
      </w:pPr>
    </w:p>
    <w:p w14:paraId="6F148F56" w14:textId="77777777" w:rsidR="005E4CC1" w:rsidRDefault="005E4CC1" w:rsidP="005E4CC1">
      <w:pPr>
        <w:widowControl w:val="0"/>
        <w:spacing w:line="278" w:lineRule="auto"/>
        <w:contextualSpacing/>
        <w:jc w:val="center"/>
      </w:pPr>
    </w:p>
    <w:p w14:paraId="61A69CE2" w14:textId="77777777" w:rsidR="005E4CC1" w:rsidRDefault="005E4CC1" w:rsidP="005E4CC1">
      <w:pPr>
        <w:widowControl w:val="0"/>
        <w:spacing w:line="278" w:lineRule="auto"/>
        <w:contextualSpacing/>
        <w:jc w:val="center"/>
      </w:pPr>
    </w:p>
    <w:p w14:paraId="7D0209B2" w14:textId="77777777" w:rsidR="005E4CC1" w:rsidRDefault="005E4CC1" w:rsidP="005E4CC1">
      <w:pPr>
        <w:widowControl w:val="0"/>
        <w:spacing w:line="278" w:lineRule="auto"/>
        <w:contextualSpacing/>
        <w:jc w:val="center"/>
      </w:pPr>
    </w:p>
    <w:p w14:paraId="37ABC26F" w14:textId="77777777" w:rsidR="005E4CC1" w:rsidRDefault="005E4CC1" w:rsidP="005E4CC1">
      <w:pPr>
        <w:widowControl w:val="0"/>
        <w:spacing w:line="278" w:lineRule="auto"/>
        <w:contextualSpacing/>
        <w:jc w:val="center"/>
      </w:pPr>
    </w:p>
    <w:p w14:paraId="16FE9E2A" w14:textId="77777777" w:rsidR="005E4CC1" w:rsidRDefault="005E4CC1" w:rsidP="005E4CC1">
      <w:pPr>
        <w:widowControl w:val="0"/>
        <w:spacing w:line="278" w:lineRule="auto"/>
        <w:contextualSpacing/>
        <w:jc w:val="center"/>
      </w:pPr>
    </w:p>
    <w:p w14:paraId="3133055A" w14:textId="77777777" w:rsidR="005E4CC1" w:rsidRDefault="005E4CC1" w:rsidP="005E4CC1">
      <w:pPr>
        <w:widowControl w:val="0"/>
        <w:spacing w:line="278" w:lineRule="auto"/>
        <w:contextualSpacing/>
        <w:jc w:val="center"/>
      </w:pPr>
    </w:p>
    <w:p w14:paraId="62CC293A" w14:textId="77777777" w:rsidR="005E4CC1" w:rsidRDefault="005E4CC1" w:rsidP="005E4CC1">
      <w:pPr>
        <w:widowControl w:val="0"/>
        <w:spacing w:line="278" w:lineRule="auto"/>
        <w:contextualSpacing/>
        <w:jc w:val="center"/>
      </w:pPr>
    </w:p>
    <w:p w14:paraId="10F046AF" w14:textId="77777777" w:rsidR="005E4CC1" w:rsidRDefault="005E4CC1" w:rsidP="005E4CC1">
      <w:pPr>
        <w:widowControl w:val="0"/>
        <w:spacing w:line="278" w:lineRule="auto"/>
        <w:contextualSpacing/>
        <w:jc w:val="center"/>
      </w:pPr>
    </w:p>
    <w:p w14:paraId="322CAA32" w14:textId="77777777" w:rsidR="005E4CC1" w:rsidRDefault="005E4CC1" w:rsidP="005E4CC1">
      <w:pPr>
        <w:widowControl w:val="0"/>
        <w:spacing w:line="278" w:lineRule="auto"/>
        <w:contextualSpacing/>
        <w:jc w:val="center"/>
      </w:pPr>
      <w:r>
        <w:t>AGRADECIMENTOS</w:t>
      </w:r>
    </w:p>
    <w:p w14:paraId="2B4267F8" w14:textId="77777777" w:rsidR="005E4CC1" w:rsidRDefault="005E4CC1" w:rsidP="005E4CC1">
      <w:pPr>
        <w:widowControl w:val="0"/>
        <w:spacing w:line="278" w:lineRule="auto"/>
        <w:contextualSpacing/>
        <w:jc w:val="center"/>
      </w:pPr>
    </w:p>
    <w:p w14:paraId="3ACE489B" w14:textId="77777777" w:rsidR="005E4CC1" w:rsidRDefault="005E4CC1" w:rsidP="005E4CC1">
      <w:pPr>
        <w:widowControl w:val="0"/>
        <w:spacing w:line="278" w:lineRule="auto"/>
        <w:contextualSpacing/>
        <w:jc w:val="center"/>
      </w:pPr>
    </w:p>
    <w:p w14:paraId="00F992D8" w14:textId="77777777" w:rsidR="005E4CC1" w:rsidRDefault="005E4CC1" w:rsidP="005E4CC1">
      <w:pPr>
        <w:widowControl w:val="0"/>
        <w:spacing w:line="278" w:lineRule="auto"/>
        <w:contextualSpacing/>
        <w:jc w:val="center"/>
      </w:pPr>
    </w:p>
    <w:p w14:paraId="1C91F313" w14:textId="77777777" w:rsidR="005E4CC1" w:rsidRDefault="005E4CC1" w:rsidP="005E4CC1">
      <w:pPr>
        <w:widowControl w:val="0"/>
        <w:spacing w:line="278" w:lineRule="auto"/>
        <w:contextualSpacing/>
        <w:jc w:val="center"/>
      </w:pPr>
    </w:p>
    <w:p w14:paraId="3C5DE5C3" w14:textId="77777777" w:rsidR="005E4CC1" w:rsidRDefault="005E4CC1" w:rsidP="005E4CC1">
      <w:pPr>
        <w:widowControl w:val="0"/>
        <w:spacing w:line="278" w:lineRule="auto"/>
        <w:contextualSpacing/>
        <w:jc w:val="center"/>
      </w:pPr>
    </w:p>
    <w:p w14:paraId="4BD2612D" w14:textId="77777777" w:rsidR="005E4CC1" w:rsidRDefault="005E4CC1" w:rsidP="005E4CC1">
      <w:pPr>
        <w:widowControl w:val="0"/>
        <w:spacing w:line="278" w:lineRule="auto"/>
        <w:contextualSpacing/>
        <w:jc w:val="center"/>
      </w:pPr>
    </w:p>
    <w:p w14:paraId="12C6E187" w14:textId="77777777" w:rsidR="005E4CC1" w:rsidRDefault="005E4CC1" w:rsidP="005E4CC1">
      <w:pPr>
        <w:widowControl w:val="0"/>
        <w:spacing w:line="278" w:lineRule="auto"/>
        <w:contextualSpacing/>
        <w:jc w:val="center"/>
      </w:pPr>
    </w:p>
    <w:p w14:paraId="49C32998" w14:textId="77777777" w:rsidR="005E4CC1" w:rsidRDefault="005E4CC1" w:rsidP="005E4CC1">
      <w:pPr>
        <w:widowControl w:val="0"/>
        <w:spacing w:line="278" w:lineRule="auto"/>
        <w:contextualSpacing/>
        <w:jc w:val="center"/>
      </w:pPr>
    </w:p>
    <w:p w14:paraId="563BCC92" w14:textId="77777777" w:rsidR="005E4CC1" w:rsidRDefault="005E4CC1" w:rsidP="005E4CC1">
      <w:pPr>
        <w:widowControl w:val="0"/>
        <w:spacing w:line="278" w:lineRule="auto"/>
        <w:contextualSpacing/>
        <w:jc w:val="center"/>
      </w:pPr>
    </w:p>
    <w:p w14:paraId="2DE2FCCF" w14:textId="77777777" w:rsidR="005E4CC1" w:rsidRDefault="005E4CC1" w:rsidP="005E4CC1">
      <w:pPr>
        <w:widowControl w:val="0"/>
        <w:spacing w:line="278" w:lineRule="auto"/>
        <w:contextualSpacing/>
        <w:jc w:val="center"/>
      </w:pPr>
    </w:p>
    <w:p w14:paraId="17A4E6A0" w14:textId="77777777" w:rsidR="005E4CC1" w:rsidRDefault="005E4CC1" w:rsidP="005E4CC1">
      <w:pPr>
        <w:widowControl w:val="0"/>
        <w:spacing w:line="278" w:lineRule="auto"/>
        <w:contextualSpacing/>
        <w:jc w:val="center"/>
      </w:pPr>
    </w:p>
    <w:p w14:paraId="520C4D60" w14:textId="77777777" w:rsidR="005E4CC1" w:rsidRDefault="005E4CC1" w:rsidP="005E4CC1">
      <w:pPr>
        <w:widowControl w:val="0"/>
        <w:spacing w:line="278" w:lineRule="auto"/>
        <w:contextualSpacing/>
        <w:jc w:val="center"/>
      </w:pPr>
    </w:p>
    <w:p w14:paraId="724E40F6" w14:textId="77777777" w:rsidR="005E4CC1" w:rsidRDefault="005E4CC1" w:rsidP="005E4CC1">
      <w:pPr>
        <w:widowControl w:val="0"/>
        <w:spacing w:line="278" w:lineRule="auto"/>
        <w:contextualSpacing/>
        <w:jc w:val="center"/>
      </w:pPr>
    </w:p>
    <w:p w14:paraId="24D2DD6A" w14:textId="77777777" w:rsidR="005E4CC1" w:rsidRDefault="005E4CC1" w:rsidP="005E4CC1">
      <w:pPr>
        <w:widowControl w:val="0"/>
        <w:spacing w:line="278" w:lineRule="auto"/>
        <w:contextualSpacing/>
        <w:jc w:val="center"/>
      </w:pPr>
    </w:p>
    <w:p w14:paraId="2CFDD4A0" w14:textId="77777777" w:rsidR="005E4CC1" w:rsidRDefault="005E4CC1" w:rsidP="005E4CC1">
      <w:pPr>
        <w:widowControl w:val="0"/>
        <w:spacing w:line="278" w:lineRule="auto"/>
        <w:contextualSpacing/>
        <w:jc w:val="center"/>
      </w:pPr>
    </w:p>
    <w:p w14:paraId="50E270DD" w14:textId="77777777" w:rsidR="005E4CC1" w:rsidRDefault="005E4CC1" w:rsidP="005E4CC1">
      <w:pPr>
        <w:widowControl w:val="0"/>
        <w:spacing w:line="278" w:lineRule="auto"/>
        <w:contextualSpacing/>
        <w:jc w:val="center"/>
      </w:pPr>
    </w:p>
    <w:p w14:paraId="0BC6C889" w14:textId="77777777" w:rsidR="005E4CC1" w:rsidRDefault="005E4CC1" w:rsidP="005E4CC1">
      <w:pPr>
        <w:widowControl w:val="0"/>
        <w:spacing w:line="278" w:lineRule="auto"/>
        <w:contextualSpacing/>
        <w:jc w:val="center"/>
      </w:pPr>
    </w:p>
    <w:p w14:paraId="1BC5AF29" w14:textId="77777777" w:rsidR="005E4CC1" w:rsidRDefault="005E4CC1" w:rsidP="005E4CC1">
      <w:pPr>
        <w:widowControl w:val="0"/>
        <w:spacing w:line="278" w:lineRule="auto"/>
        <w:contextualSpacing/>
        <w:jc w:val="center"/>
      </w:pPr>
    </w:p>
    <w:p w14:paraId="0E0291F9" w14:textId="77777777" w:rsidR="005E4CC1" w:rsidRDefault="005E4CC1" w:rsidP="005E4CC1">
      <w:pPr>
        <w:widowControl w:val="0"/>
        <w:spacing w:line="278" w:lineRule="auto"/>
        <w:contextualSpacing/>
        <w:jc w:val="center"/>
      </w:pPr>
    </w:p>
    <w:p w14:paraId="7CA7F4F3" w14:textId="77777777" w:rsidR="005E4CC1" w:rsidRDefault="005E4CC1" w:rsidP="005E4CC1">
      <w:pPr>
        <w:widowControl w:val="0"/>
        <w:spacing w:line="278" w:lineRule="auto"/>
        <w:contextualSpacing/>
        <w:jc w:val="center"/>
      </w:pPr>
    </w:p>
    <w:p w14:paraId="3CFC7491" w14:textId="77777777" w:rsidR="005E4CC1" w:rsidRDefault="005E4CC1" w:rsidP="005E4CC1">
      <w:pPr>
        <w:widowControl w:val="0"/>
        <w:spacing w:line="278" w:lineRule="auto"/>
        <w:contextualSpacing/>
        <w:jc w:val="center"/>
      </w:pPr>
    </w:p>
    <w:p w14:paraId="670522D3" w14:textId="77777777" w:rsidR="005E4CC1" w:rsidRDefault="005E4CC1" w:rsidP="005E4CC1">
      <w:pPr>
        <w:widowControl w:val="0"/>
        <w:spacing w:line="278" w:lineRule="auto"/>
        <w:contextualSpacing/>
        <w:jc w:val="center"/>
      </w:pPr>
    </w:p>
    <w:p w14:paraId="20CE4B36" w14:textId="77777777" w:rsidR="005E4CC1" w:rsidRDefault="005E4CC1" w:rsidP="005E4CC1">
      <w:pPr>
        <w:widowControl w:val="0"/>
        <w:spacing w:line="278" w:lineRule="auto"/>
        <w:contextualSpacing/>
        <w:jc w:val="center"/>
      </w:pPr>
    </w:p>
    <w:p w14:paraId="10EEF4A8" w14:textId="77777777" w:rsidR="005E4CC1" w:rsidRDefault="005E4CC1" w:rsidP="005E4CC1">
      <w:pPr>
        <w:widowControl w:val="0"/>
        <w:spacing w:line="278" w:lineRule="auto"/>
        <w:contextualSpacing/>
        <w:jc w:val="center"/>
      </w:pPr>
    </w:p>
    <w:p w14:paraId="571B3576" w14:textId="77777777" w:rsidR="005E4CC1" w:rsidRDefault="005E4CC1" w:rsidP="005E4CC1">
      <w:pPr>
        <w:widowControl w:val="0"/>
        <w:spacing w:line="278" w:lineRule="auto"/>
        <w:contextualSpacing/>
        <w:jc w:val="center"/>
      </w:pPr>
    </w:p>
    <w:p w14:paraId="035191E7" w14:textId="77777777" w:rsidR="005E4CC1" w:rsidRDefault="005E4CC1" w:rsidP="005E4CC1">
      <w:pPr>
        <w:widowControl w:val="0"/>
        <w:spacing w:line="278" w:lineRule="auto"/>
        <w:contextualSpacing/>
        <w:jc w:val="center"/>
      </w:pPr>
    </w:p>
    <w:p w14:paraId="04BA8B3D" w14:textId="77777777" w:rsidR="005E4CC1" w:rsidRDefault="005E4CC1" w:rsidP="005E4CC1">
      <w:pPr>
        <w:widowControl w:val="0"/>
        <w:spacing w:line="278" w:lineRule="auto"/>
        <w:contextualSpacing/>
        <w:jc w:val="center"/>
      </w:pPr>
    </w:p>
    <w:p w14:paraId="54313B98" w14:textId="77777777" w:rsidR="005E4CC1" w:rsidRDefault="005E4CC1" w:rsidP="005E4CC1">
      <w:pPr>
        <w:widowControl w:val="0"/>
        <w:spacing w:line="278" w:lineRule="auto"/>
        <w:contextualSpacing/>
        <w:jc w:val="center"/>
      </w:pPr>
    </w:p>
    <w:p w14:paraId="389E66D0" w14:textId="77777777" w:rsidR="005E4CC1" w:rsidRDefault="005E4CC1" w:rsidP="005E4CC1">
      <w:pPr>
        <w:widowControl w:val="0"/>
        <w:spacing w:line="278" w:lineRule="auto"/>
        <w:contextualSpacing/>
        <w:jc w:val="center"/>
      </w:pPr>
    </w:p>
    <w:p w14:paraId="00E63AB8" w14:textId="77777777" w:rsidR="005E4CC1" w:rsidRDefault="005E4CC1" w:rsidP="005E4CC1">
      <w:pPr>
        <w:widowControl w:val="0"/>
        <w:spacing w:line="278" w:lineRule="auto"/>
        <w:contextualSpacing/>
        <w:jc w:val="center"/>
      </w:pPr>
    </w:p>
    <w:p w14:paraId="6394F76A" w14:textId="77777777" w:rsidR="005E4CC1" w:rsidRDefault="005E4CC1" w:rsidP="005E4CC1">
      <w:pPr>
        <w:widowControl w:val="0"/>
        <w:spacing w:line="278" w:lineRule="auto"/>
        <w:contextualSpacing/>
        <w:jc w:val="center"/>
      </w:pPr>
    </w:p>
    <w:p w14:paraId="2CA22905" w14:textId="77777777" w:rsidR="005E4CC1" w:rsidRDefault="005E4CC1" w:rsidP="005E4CC1">
      <w:pPr>
        <w:widowControl w:val="0"/>
        <w:spacing w:line="278" w:lineRule="auto"/>
        <w:contextualSpacing/>
        <w:jc w:val="center"/>
      </w:pPr>
    </w:p>
    <w:p w14:paraId="4CF994FF" w14:textId="77777777" w:rsidR="005E4CC1" w:rsidRDefault="005E4CC1" w:rsidP="005E4CC1">
      <w:pPr>
        <w:widowControl w:val="0"/>
        <w:spacing w:line="278" w:lineRule="auto"/>
        <w:contextualSpacing/>
        <w:jc w:val="center"/>
      </w:pPr>
    </w:p>
    <w:p w14:paraId="32477B55" w14:textId="77777777" w:rsidR="005E4CC1" w:rsidRDefault="005E4CC1" w:rsidP="005E4CC1">
      <w:pPr>
        <w:widowControl w:val="0"/>
        <w:spacing w:line="278" w:lineRule="auto"/>
        <w:contextualSpacing/>
        <w:jc w:val="center"/>
      </w:pPr>
    </w:p>
    <w:p w14:paraId="45CBA853" w14:textId="77777777" w:rsidR="005E4CC1" w:rsidRDefault="005E4CC1" w:rsidP="005E4CC1">
      <w:pPr>
        <w:widowControl w:val="0"/>
        <w:spacing w:line="278" w:lineRule="auto"/>
        <w:contextualSpacing/>
        <w:jc w:val="center"/>
      </w:pPr>
    </w:p>
    <w:p w14:paraId="34554CE1" w14:textId="77777777" w:rsidR="005E4CC1" w:rsidRDefault="005E4CC1" w:rsidP="005E4CC1">
      <w:pPr>
        <w:widowControl w:val="0"/>
        <w:spacing w:line="278" w:lineRule="auto"/>
        <w:contextualSpacing/>
        <w:jc w:val="center"/>
      </w:pPr>
    </w:p>
    <w:p w14:paraId="247548CF" w14:textId="77777777" w:rsidR="005E4CC1" w:rsidRDefault="005E4CC1" w:rsidP="005E4CC1">
      <w:pPr>
        <w:widowControl w:val="0"/>
        <w:spacing w:line="278" w:lineRule="auto"/>
        <w:contextualSpacing/>
        <w:jc w:val="center"/>
      </w:pPr>
    </w:p>
    <w:p w14:paraId="1334C495" w14:textId="77777777" w:rsidR="005E4CC1" w:rsidRDefault="005E4CC1" w:rsidP="005E4CC1">
      <w:pPr>
        <w:widowControl w:val="0"/>
        <w:spacing w:line="278" w:lineRule="auto"/>
        <w:contextualSpacing/>
        <w:jc w:val="center"/>
      </w:pPr>
    </w:p>
    <w:p w14:paraId="71E39A21" w14:textId="77777777" w:rsidR="005E4CC1" w:rsidRDefault="005E4CC1" w:rsidP="005E4CC1">
      <w:pPr>
        <w:widowControl w:val="0"/>
        <w:spacing w:line="278" w:lineRule="auto"/>
        <w:contextualSpacing/>
        <w:jc w:val="center"/>
      </w:pPr>
    </w:p>
    <w:p w14:paraId="3C0E1736" w14:textId="77777777" w:rsidR="005E4CC1" w:rsidRDefault="005E4CC1" w:rsidP="005E4CC1">
      <w:pPr>
        <w:widowControl w:val="0"/>
        <w:spacing w:line="278" w:lineRule="auto"/>
        <w:contextualSpacing/>
        <w:jc w:val="center"/>
      </w:pPr>
      <w:r>
        <w:t>RESUMO</w:t>
      </w:r>
    </w:p>
    <w:p w14:paraId="417D305B" w14:textId="77777777" w:rsidR="005E4CC1" w:rsidRDefault="005E4CC1" w:rsidP="005E4CC1">
      <w:pPr>
        <w:widowControl w:val="0"/>
        <w:spacing w:line="278" w:lineRule="auto"/>
        <w:contextualSpacing/>
        <w:jc w:val="center"/>
      </w:pPr>
    </w:p>
    <w:p w14:paraId="09C5E72C" w14:textId="77777777" w:rsidR="005E4CC1" w:rsidRDefault="005E4CC1" w:rsidP="005E4CC1">
      <w:pPr>
        <w:widowControl w:val="0"/>
        <w:spacing w:line="278" w:lineRule="auto"/>
        <w:contextualSpacing/>
        <w:jc w:val="center"/>
      </w:pPr>
    </w:p>
    <w:p w14:paraId="6CE5B8EB" w14:textId="77777777" w:rsidR="005E4CC1" w:rsidRDefault="005E4CC1" w:rsidP="005E4CC1">
      <w:pPr>
        <w:widowControl w:val="0"/>
        <w:spacing w:line="278" w:lineRule="auto"/>
        <w:contextualSpacing/>
        <w:jc w:val="center"/>
      </w:pPr>
    </w:p>
    <w:p w14:paraId="0476929F" w14:textId="77777777" w:rsidR="005E4CC1" w:rsidRDefault="005E4CC1" w:rsidP="005E4CC1">
      <w:pPr>
        <w:widowControl w:val="0"/>
        <w:spacing w:line="278" w:lineRule="auto"/>
        <w:contextualSpacing/>
        <w:jc w:val="center"/>
      </w:pPr>
    </w:p>
    <w:p w14:paraId="59A42139" w14:textId="77777777" w:rsidR="005E4CC1" w:rsidRDefault="005E4CC1" w:rsidP="005E4CC1">
      <w:pPr>
        <w:widowControl w:val="0"/>
        <w:spacing w:line="278" w:lineRule="auto"/>
        <w:contextualSpacing/>
        <w:jc w:val="center"/>
      </w:pPr>
    </w:p>
    <w:p w14:paraId="4D501A24" w14:textId="77777777" w:rsidR="005E4CC1" w:rsidRDefault="005E4CC1" w:rsidP="005E4CC1">
      <w:pPr>
        <w:widowControl w:val="0"/>
        <w:spacing w:line="278" w:lineRule="auto"/>
        <w:contextualSpacing/>
        <w:jc w:val="center"/>
      </w:pPr>
    </w:p>
    <w:p w14:paraId="6448CB76" w14:textId="77777777" w:rsidR="005E4CC1" w:rsidRDefault="005E4CC1" w:rsidP="005E4CC1">
      <w:pPr>
        <w:widowControl w:val="0"/>
        <w:spacing w:line="278" w:lineRule="auto"/>
        <w:contextualSpacing/>
        <w:jc w:val="center"/>
      </w:pPr>
    </w:p>
    <w:p w14:paraId="71892D7A" w14:textId="77777777" w:rsidR="005E4CC1" w:rsidRDefault="005E4CC1" w:rsidP="005E4CC1">
      <w:pPr>
        <w:widowControl w:val="0"/>
        <w:spacing w:line="278" w:lineRule="auto"/>
        <w:contextualSpacing/>
        <w:jc w:val="center"/>
      </w:pPr>
    </w:p>
    <w:p w14:paraId="1812C3BE" w14:textId="77777777" w:rsidR="005E4CC1" w:rsidRDefault="005E4CC1" w:rsidP="005E4CC1">
      <w:pPr>
        <w:widowControl w:val="0"/>
        <w:spacing w:line="278" w:lineRule="auto"/>
        <w:contextualSpacing/>
        <w:jc w:val="center"/>
      </w:pPr>
    </w:p>
    <w:p w14:paraId="5518229C" w14:textId="77777777" w:rsidR="005E4CC1" w:rsidRDefault="005E4CC1" w:rsidP="005E4CC1">
      <w:pPr>
        <w:widowControl w:val="0"/>
        <w:spacing w:line="278" w:lineRule="auto"/>
        <w:contextualSpacing/>
        <w:jc w:val="center"/>
      </w:pPr>
    </w:p>
    <w:p w14:paraId="566B1D57" w14:textId="77777777" w:rsidR="005E4CC1" w:rsidRDefault="005E4CC1" w:rsidP="005E4CC1">
      <w:pPr>
        <w:widowControl w:val="0"/>
        <w:spacing w:line="278" w:lineRule="auto"/>
        <w:contextualSpacing/>
        <w:jc w:val="center"/>
      </w:pPr>
    </w:p>
    <w:p w14:paraId="5CF0C0A1" w14:textId="77777777" w:rsidR="005E4CC1" w:rsidRDefault="005E4CC1" w:rsidP="005E4CC1">
      <w:pPr>
        <w:widowControl w:val="0"/>
        <w:spacing w:line="278" w:lineRule="auto"/>
        <w:contextualSpacing/>
        <w:jc w:val="center"/>
      </w:pPr>
    </w:p>
    <w:p w14:paraId="6B1D5DAD" w14:textId="77777777" w:rsidR="005E4CC1" w:rsidRDefault="005E4CC1" w:rsidP="005E4CC1">
      <w:pPr>
        <w:widowControl w:val="0"/>
        <w:spacing w:line="278" w:lineRule="auto"/>
        <w:contextualSpacing/>
        <w:jc w:val="center"/>
      </w:pPr>
    </w:p>
    <w:p w14:paraId="697409EA" w14:textId="77777777" w:rsidR="005E4CC1" w:rsidRDefault="005E4CC1" w:rsidP="005E4CC1">
      <w:pPr>
        <w:widowControl w:val="0"/>
        <w:spacing w:line="278" w:lineRule="auto"/>
        <w:contextualSpacing/>
        <w:jc w:val="center"/>
      </w:pPr>
    </w:p>
    <w:p w14:paraId="48CBEA14" w14:textId="77777777" w:rsidR="005E4CC1" w:rsidRDefault="005E4CC1" w:rsidP="005E4CC1">
      <w:pPr>
        <w:widowControl w:val="0"/>
        <w:spacing w:line="278" w:lineRule="auto"/>
        <w:contextualSpacing/>
        <w:jc w:val="center"/>
      </w:pPr>
    </w:p>
    <w:p w14:paraId="133BD41D" w14:textId="77777777" w:rsidR="005E4CC1" w:rsidRDefault="005E4CC1" w:rsidP="005E4CC1">
      <w:pPr>
        <w:widowControl w:val="0"/>
        <w:spacing w:line="278" w:lineRule="auto"/>
        <w:contextualSpacing/>
        <w:jc w:val="center"/>
      </w:pPr>
    </w:p>
    <w:p w14:paraId="6B641F29" w14:textId="77777777" w:rsidR="005E4CC1" w:rsidRDefault="005E4CC1" w:rsidP="005E4CC1">
      <w:pPr>
        <w:widowControl w:val="0"/>
        <w:spacing w:line="278" w:lineRule="auto"/>
        <w:contextualSpacing/>
        <w:jc w:val="center"/>
      </w:pPr>
    </w:p>
    <w:p w14:paraId="264D1578" w14:textId="77777777" w:rsidR="005E4CC1" w:rsidRDefault="005E4CC1" w:rsidP="005E4CC1">
      <w:pPr>
        <w:widowControl w:val="0"/>
        <w:spacing w:line="278" w:lineRule="auto"/>
        <w:contextualSpacing/>
        <w:jc w:val="center"/>
      </w:pPr>
    </w:p>
    <w:p w14:paraId="2B633B20" w14:textId="77777777" w:rsidR="005E4CC1" w:rsidRDefault="005E4CC1" w:rsidP="005E4CC1">
      <w:pPr>
        <w:widowControl w:val="0"/>
        <w:spacing w:line="278" w:lineRule="auto"/>
        <w:contextualSpacing/>
        <w:jc w:val="center"/>
      </w:pPr>
    </w:p>
    <w:p w14:paraId="6298A349" w14:textId="77777777" w:rsidR="005E4CC1" w:rsidRDefault="005E4CC1" w:rsidP="005E4CC1">
      <w:pPr>
        <w:widowControl w:val="0"/>
        <w:spacing w:line="278" w:lineRule="auto"/>
        <w:contextualSpacing/>
        <w:jc w:val="center"/>
      </w:pPr>
    </w:p>
    <w:p w14:paraId="36A70185" w14:textId="77777777" w:rsidR="005E4CC1" w:rsidRDefault="005E4CC1" w:rsidP="005E4CC1">
      <w:pPr>
        <w:widowControl w:val="0"/>
        <w:spacing w:line="278" w:lineRule="auto"/>
        <w:contextualSpacing/>
        <w:jc w:val="center"/>
      </w:pPr>
    </w:p>
    <w:p w14:paraId="458E57F7" w14:textId="77777777" w:rsidR="005E4CC1" w:rsidRDefault="005E4CC1" w:rsidP="005E4CC1">
      <w:pPr>
        <w:widowControl w:val="0"/>
        <w:spacing w:line="278" w:lineRule="auto"/>
        <w:contextualSpacing/>
        <w:jc w:val="center"/>
      </w:pPr>
    </w:p>
    <w:p w14:paraId="7E7011B1" w14:textId="77777777" w:rsidR="005E4CC1" w:rsidRDefault="005E4CC1" w:rsidP="005E4CC1">
      <w:pPr>
        <w:widowControl w:val="0"/>
        <w:spacing w:line="278" w:lineRule="auto"/>
        <w:contextualSpacing/>
        <w:jc w:val="center"/>
      </w:pPr>
    </w:p>
    <w:p w14:paraId="06B3C71F" w14:textId="77777777" w:rsidR="005E4CC1" w:rsidRDefault="005E4CC1" w:rsidP="005E4CC1">
      <w:pPr>
        <w:widowControl w:val="0"/>
        <w:spacing w:line="278" w:lineRule="auto"/>
        <w:contextualSpacing/>
        <w:jc w:val="center"/>
      </w:pPr>
    </w:p>
    <w:p w14:paraId="781FCC45" w14:textId="77777777" w:rsidR="005E4CC1" w:rsidRDefault="005E4CC1" w:rsidP="005E4CC1">
      <w:pPr>
        <w:widowControl w:val="0"/>
        <w:spacing w:line="278" w:lineRule="auto"/>
        <w:contextualSpacing/>
        <w:jc w:val="center"/>
      </w:pPr>
    </w:p>
    <w:p w14:paraId="68680BE0" w14:textId="77777777" w:rsidR="005E4CC1" w:rsidRDefault="005E4CC1" w:rsidP="005E4CC1">
      <w:pPr>
        <w:widowControl w:val="0"/>
        <w:spacing w:line="278" w:lineRule="auto"/>
        <w:contextualSpacing/>
        <w:jc w:val="center"/>
      </w:pPr>
    </w:p>
    <w:p w14:paraId="6385CDE2" w14:textId="77777777" w:rsidR="005E4CC1" w:rsidRDefault="005E4CC1" w:rsidP="005E4CC1">
      <w:pPr>
        <w:widowControl w:val="0"/>
        <w:spacing w:line="278" w:lineRule="auto"/>
        <w:contextualSpacing/>
        <w:jc w:val="center"/>
      </w:pPr>
    </w:p>
    <w:p w14:paraId="4DC530AA" w14:textId="77777777" w:rsidR="005E4CC1" w:rsidRDefault="005E4CC1" w:rsidP="005E4CC1">
      <w:pPr>
        <w:widowControl w:val="0"/>
        <w:spacing w:line="278" w:lineRule="auto"/>
        <w:contextualSpacing/>
        <w:jc w:val="center"/>
      </w:pPr>
    </w:p>
    <w:p w14:paraId="1E76414E" w14:textId="77777777" w:rsidR="005E4CC1" w:rsidRDefault="005E4CC1" w:rsidP="005E4CC1">
      <w:pPr>
        <w:widowControl w:val="0"/>
        <w:spacing w:line="278" w:lineRule="auto"/>
        <w:contextualSpacing/>
        <w:jc w:val="center"/>
      </w:pPr>
    </w:p>
    <w:p w14:paraId="4CEE5670" w14:textId="77777777" w:rsidR="005E4CC1" w:rsidRDefault="005E4CC1" w:rsidP="005E4CC1">
      <w:pPr>
        <w:widowControl w:val="0"/>
        <w:spacing w:line="278" w:lineRule="auto"/>
        <w:contextualSpacing/>
        <w:jc w:val="center"/>
      </w:pPr>
    </w:p>
    <w:p w14:paraId="6031BC7E" w14:textId="77777777" w:rsidR="005E4CC1" w:rsidRDefault="005E4CC1" w:rsidP="005E4CC1">
      <w:pPr>
        <w:widowControl w:val="0"/>
        <w:spacing w:line="278" w:lineRule="auto"/>
        <w:contextualSpacing/>
        <w:jc w:val="center"/>
      </w:pPr>
    </w:p>
    <w:p w14:paraId="2ECFDD80" w14:textId="77777777" w:rsidR="005E4CC1" w:rsidRDefault="005E4CC1" w:rsidP="005E4CC1">
      <w:pPr>
        <w:widowControl w:val="0"/>
        <w:spacing w:line="278" w:lineRule="auto"/>
        <w:contextualSpacing/>
        <w:jc w:val="center"/>
      </w:pPr>
    </w:p>
    <w:p w14:paraId="5058D324" w14:textId="77777777" w:rsidR="005E4CC1" w:rsidRDefault="005E4CC1" w:rsidP="005E4CC1">
      <w:pPr>
        <w:widowControl w:val="0"/>
        <w:spacing w:line="278" w:lineRule="auto"/>
        <w:contextualSpacing/>
        <w:jc w:val="center"/>
      </w:pPr>
    </w:p>
    <w:p w14:paraId="3CA03902" w14:textId="77777777" w:rsidR="005E4CC1" w:rsidRDefault="005E4CC1" w:rsidP="005E4CC1">
      <w:pPr>
        <w:widowControl w:val="0"/>
        <w:spacing w:line="278" w:lineRule="auto"/>
        <w:contextualSpacing/>
        <w:jc w:val="center"/>
      </w:pPr>
    </w:p>
    <w:p w14:paraId="4E32928E" w14:textId="77777777" w:rsidR="005E4CC1" w:rsidRDefault="005E4CC1" w:rsidP="005E4CC1">
      <w:pPr>
        <w:widowControl w:val="0"/>
        <w:spacing w:line="278" w:lineRule="auto"/>
        <w:contextualSpacing/>
        <w:jc w:val="center"/>
      </w:pPr>
    </w:p>
    <w:p w14:paraId="2F161B39" w14:textId="77777777" w:rsidR="005E4CC1" w:rsidRDefault="005E4CC1" w:rsidP="005E4CC1">
      <w:pPr>
        <w:widowControl w:val="0"/>
        <w:spacing w:line="278" w:lineRule="auto"/>
        <w:contextualSpacing/>
        <w:jc w:val="center"/>
      </w:pPr>
    </w:p>
    <w:p w14:paraId="0A887BE2" w14:textId="77777777" w:rsidR="005E4CC1" w:rsidRDefault="005E4CC1" w:rsidP="005E4CC1">
      <w:pPr>
        <w:widowControl w:val="0"/>
        <w:spacing w:line="278" w:lineRule="auto"/>
        <w:contextualSpacing/>
        <w:jc w:val="center"/>
      </w:pPr>
    </w:p>
    <w:p w14:paraId="34769DD0" w14:textId="77777777" w:rsidR="005E4CC1" w:rsidRDefault="005E4CC1" w:rsidP="005E4CC1">
      <w:pPr>
        <w:widowControl w:val="0"/>
        <w:spacing w:line="278" w:lineRule="auto"/>
        <w:contextualSpacing/>
        <w:jc w:val="center"/>
      </w:pPr>
    </w:p>
    <w:p w14:paraId="66D2DD30" w14:textId="77777777" w:rsidR="005E4CC1" w:rsidRDefault="005E4CC1" w:rsidP="005E4CC1">
      <w:pPr>
        <w:widowControl w:val="0"/>
        <w:spacing w:line="278" w:lineRule="auto"/>
        <w:contextualSpacing/>
        <w:jc w:val="center"/>
      </w:pPr>
    </w:p>
    <w:p w14:paraId="26F9F0EA" w14:textId="01FB62BE" w:rsidR="005E4CC1" w:rsidRDefault="005E4CC1" w:rsidP="005E4CC1">
      <w:pPr>
        <w:widowControl w:val="0"/>
        <w:spacing w:line="278" w:lineRule="auto"/>
        <w:contextualSpacing/>
        <w:jc w:val="center"/>
      </w:pPr>
      <w:r>
        <w:t>ABSTRACT</w:t>
      </w:r>
      <w:r>
        <w:br w:type="page"/>
      </w:r>
    </w:p>
    <w:p w14:paraId="77AA4374" w14:textId="238B02DF" w:rsidR="00465C19" w:rsidRDefault="00465C19" w:rsidP="008C05D2">
      <w:pPr>
        <w:pStyle w:val="Heading1"/>
      </w:pPr>
      <w:r>
        <w:lastRenderedPageBreak/>
        <w:t>INTRODUÇÃO</w:t>
      </w:r>
    </w:p>
    <w:p w14:paraId="5D30B1BB" w14:textId="77777777" w:rsidR="00462D8B" w:rsidRDefault="00462D8B" w:rsidP="00462D8B"/>
    <w:p w14:paraId="51F8CFF1" w14:textId="59F59B4F" w:rsidR="002F6043" w:rsidRDefault="008D187E" w:rsidP="00351C49">
      <w:pPr>
        <w:pStyle w:val="Heading2"/>
      </w:pPr>
      <w:r>
        <w:rPr>
          <w:caps w:val="0"/>
        </w:rPr>
        <w:t>A MEMÓRIA COMO O ARCABOUÇO DO TEMPO E ESPAÇO SUBJETIVOS</w:t>
      </w:r>
    </w:p>
    <w:p w14:paraId="514E23CC" w14:textId="77777777" w:rsidR="002F6043" w:rsidRDefault="002F6043" w:rsidP="002F6043"/>
    <w:p w14:paraId="79DE7246" w14:textId="58097EBA" w:rsidR="004734E5" w:rsidRDefault="002F6043" w:rsidP="002F6043">
      <w:pPr>
        <w:ind w:firstLine="720"/>
      </w:pPr>
      <w:r>
        <w:t xml:space="preserve">O processo de aprendizagem e percepção de si, do outro e do mundo ao redor é um fenômeno que está ligado ao mesmo tempo a eventos passados, experiências presentes e eventualmente às mudanças de comportamentos futuros </w:t>
      </w:r>
      <w:r>
        <w:fldChar w:fldCharType="begin"/>
      </w:r>
      <w:r w:rsidR="007F237D">
        <w:instrText xml:space="preserve"> ADDIN ZOTERO_ITEM CSL_CITATION {"citationID":"y5iuneqK","properties":{"formattedCitation":"(Dudai, 2002; Fivush &amp; Grysman, 2023; Kandel et al., 2021)","plainCitation":"(Dudai, 2002; Fivush &amp; Grysman, 2023; Kandel et al., 2021)","noteIndex":0},"citationItems":[{"id":3594,"uris":["http://zotero.org/users/7052761/items/GBX3B3DA"],"itemData":{"id":3594,"type":"book","abstract":"\"This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Z","editor":[{"family":"Dudai","given":"Yadin"}],"issued":{"date-parts":[["2002"]]}}},{"id":3606,"uris":["http://zotero.org/users/7052761/items/XGSREQ36"],"itemData":{"id":3606,"type":"article-journal","abstract":"Abstract\n            Autobiographical memories are never isolated episodes; they are embedded in a network that is continually updated and prediction driven. We present autobiographical memory as a meaning</w:instrText>
      </w:r>
      <w:r w:rsidR="007F237D">
        <w:rPr>
          <w:rFonts w:ascii="Cambria Math" w:hAnsi="Cambria Math" w:cs="Cambria Math"/>
        </w:rPr>
        <w:instrText>‐</w:instrText>
      </w:r>
      <w:r w:rsidR="007F237D">
        <w:instrText>driven process that includes both veridical traces and reconstructive schemas. Our developmental approach delineates how autobiographical memory develops across childhood and throughout adulthood, and our sociocultural approach examines the ways in which autobiographical memories are shaped by everyday social interactions embedded within cultural worldviews. These approaches are enhanced by a focus on autobiographical memory functions, namely self</w:instrText>
      </w:r>
      <w:r w:rsidR="007F237D">
        <w:rPr>
          <w:rFonts w:ascii="Cambria Math" w:hAnsi="Cambria Math" w:cs="Cambria Math"/>
        </w:rPr>
        <w:instrText>‐</w:instrText>
      </w:r>
      <w:r w:rsidR="007F237D">
        <w:instrText>coherence, social embeddedness, and directing future behaviors. Neuroscience models of memory outlined in multiple trace and trace transformation theories and perceptual principles of predictive processing establish mechanisms and frameworks into which autobiographical memory processes are incorporated. Rather than conceptualizing autobiographical and episodic memories as accurate versus error</w:instrText>
      </w:r>
      <w:r w:rsidR="007F237D">
        <w:rPr>
          <w:rFonts w:ascii="Cambria Math" w:hAnsi="Cambria Math" w:cs="Cambria Math"/>
        </w:rPr>
        <w:instrText>‐</w:instrText>
      </w:r>
      <w:r w:rsidR="007F237D">
        <w:instrText>prone, we frame memory as a dynamic process that is continuously updated to create coherent meaning for individuals living in complex sociocultural worlds. Autobiographical memory is a process of both accuracy and error, an intricate weaving of specific episodic details, inferences and confusions among similar experiences; it incorporates post</w:instrText>
      </w:r>
      <w:r w:rsidR="007F237D">
        <w:rPr>
          <w:rFonts w:ascii="Cambria Math" w:hAnsi="Cambria Math" w:cs="Cambria Math"/>
        </w:rPr>
        <w:instrText>‐</w:instrText>
      </w:r>
      <w:r w:rsidR="007F237D">
        <w:instrText xml:space="preserve">event information through reminiscing and conversations, in the service of creating more meaningful coherent memories that define self, others, and the world.\n            \n              This article is categorized under:\n              \n                \n                  Psychology &gt; Memory","container-title":"WIREs Cognitive Science","DOI":"10.1002/wcs.1620","ISSN":"1939-5078, 1939-5086","issue":"3","journalAbbreviation":"WIRES Cognitive Science","language":"en","page":"e1620","source":"DOI.org (Crossref)","title":"Accuracy and reconstruction in autobiographical memory: (Re)consolidating neuroscience and sociocultural developmental approaches","title-short":"Accuracy and reconstruction in autobiographical memory","volume":"14","author":[{"family":"Fivush","given":"Robyn"},{"family":"Grysman","given":"Azriel"}],"issued":{"date-parts":[["2023",5]]}}},{"id":3592,"uris":["http://zotero.org/users/7052761/items/I3I9QTFD"],"itemData":{"id":3592,"type":"book","abstract":"\"As in previous editions, the goal of this sixth edition of Principles of Neural Science is to provide readers with insight into how genes, molecules, neurons and the circuits they form give rise to mind\"-- Provided by publisher","edition":"Sixth edition","event-place":"New York","ISBN":"978-1-259-64223-4","language":"eng","note":"OCLC: 1199587061","publisher":"McGraw Hill","publisher-place":"New York","source":"Open WorldCat","title":"Principles of neural science","editor":[{"family":"Kandel","given":"Eric R."},{"family":"Koester","given":"John"},{"family":"Mack","given":"Sarah"},{"family":"Siegelbaum","given":"Steven"}],"issued":{"date-parts":[["2021"]]}}}],"schema":"https://github.com/citation-style-language/schema/raw/master/csl-citation.json"} </w:instrText>
      </w:r>
      <w:r>
        <w:fldChar w:fldCharType="separate"/>
      </w:r>
      <w:r w:rsidR="007F237D" w:rsidRPr="007F237D">
        <w:rPr>
          <w:rFonts w:cs="Arial"/>
        </w:rPr>
        <w:t>(Dudai, 2002; Fivush &amp; Grysman, 2023; Kandel et al., 2021)</w:t>
      </w:r>
      <w:r>
        <w:fldChar w:fldCharType="end"/>
      </w:r>
      <w:r>
        <w:t xml:space="preserve">. A memória, nesse sentido, é o arcabouço que sustenta a construção do tempo e do espaço subjetivos, permitindo que os indivíduos naveguem por suas experiências e compreendam sua identidade ao longo do tempo. </w:t>
      </w:r>
    </w:p>
    <w:p w14:paraId="033EBDDA" w14:textId="390A0987" w:rsidR="0096274D" w:rsidRDefault="0096274D" w:rsidP="0096274D">
      <w:pPr>
        <w:ind w:firstLine="720"/>
      </w:pPr>
      <w:r>
        <w:t xml:space="preserve">É importante notar que a taxonomia da memória vem sido atualizada e refinada ao longo de vários anos, sendo Endel Tulving um dos principais contribuintes para a compreensão das diferentes categorias de memória. Tulving propôs que a memória é dividida em memória episódica, semântica e procedural </w:t>
      </w:r>
      <w:r>
        <w:fldChar w:fldCharType="begin"/>
      </w:r>
      <w:r>
        <w:instrText xml:space="preserve"> ADDIN ZOTERO_ITEM CSL_CITATION {"citationID":"AsFk5UMY","properties":{"formattedCitation":"(Tulving, 1992)","plainCitation":"(Tulving, 1992)","noteIndex":0},"citationItems":[{"id":3639,"uris":["http://zotero.org/users/7052761/items/BGLRWWWQ"],"itemData":{"id":3639,"type":"book","collection-number":"2","collection-title":"Oxford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(Tulving, 1992)</w:t>
      </w:r>
      <w:r>
        <w:fldChar w:fldCharType="end"/>
      </w:r>
      <w:r>
        <w:t>.</w:t>
      </w:r>
    </w:p>
    <w:p w14:paraId="1905FB89" w14:textId="7F364A35" w:rsidR="0096274D" w:rsidRDefault="0096274D" w:rsidP="0096274D">
      <w:pPr>
        <w:ind w:firstLine="720"/>
      </w:pPr>
      <w:r>
        <w:t xml:space="preserve">A memória semântica é descrita por Tulving como a memória de fatos e conhecimentos gerais sobre o mundo, que não estão ligados a experiências pessoais específicas e que está disponível para o uso consciente, sendo a forma de permitir que indivíduos acumulem e utilizem as informações adquiridas ao longo do tempo, construir uma representação mental e operar em situações, objetos e relações entre tais mesmo na ausência de estímulos externos </w:t>
      </w:r>
      <w:r>
        <w:fldChar w:fldCharType="begin"/>
      </w:r>
      <w:r>
        <w:instrText xml:space="preserve"> ADDIN ZOTERO_ITEM CSL_CITATION {"citationID":"ZO9wSU4Q","properties":{"formattedCitation":"(Tulving, 1992)","plainCitation":"(Tulving, 1992)","noteIndex":0},"citationItems":[{"id":3639,"uris":["http://zotero.org/users/7052761/items/BGLRWWWQ"],"itemData":{"id":3639,"type":"book","collection-number":"2","collection-title":"Oxford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(Tulving, 1992)</w:t>
      </w:r>
      <w:r>
        <w:fldChar w:fldCharType="end"/>
      </w:r>
      <w:r>
        <w:t>.</w:t>
      </w:r>
    </w:p>
    <w:p w14:paraId="158F781D" w14:textId="77777777" w:rsidR="0096274D" w:rsidRDefault="0096274D" w:rsidP="0096274D">
      <w:pPr>
        <w:ind w:firstLine="720"/>
      </w:pPr>
    </w:p>
    <w:p w14:paraId="0DE74304" w14:textId="69DD0EAD" w:rsidR="002F6043" w:rsidRDefault="0096274D" w:rsidP="0096274D">
      <w:pPr>
        <w:ind w:firstLine="720"/>
      </w:pPr>
      <w:r>
        <w:t xml:space="preserve">Por outro lado, a memória episódica refere-se à capacidade de recordar eventos específicos e experiências individuais do passado, incluindo o contexto temporal e espacial em que ocorreram </w:t>
      </w:r>
      <w:r>
        <w:fldChar w:fldCharType="begin"/>
      </w:r>
      <w:r w:rsidR="007F237D">
        <w:instrText xml:space="preserve"> ADDIN ZOTERO_ITEM CSL_CITATION {"citationID":"wTiRYcEm","properties":{"formattedCitation":"(Sugar &amp; Moser, 2019)","plainCitation":"(Sugar &amp; Moser, 2019)","noteIndex":0},"citationItems":[{"id":3642,"uris":["http://zotero.org/users/7052761/items/7KGZBDHR"],"itemData":{"id":3642,"type":"article-journal","abstract":"Abstract\n            Episodic memory is defined as the ability to recall events in a spatiotemporal context. Formation of such memories is critically dependent on the hippocampal formation and its inputs from the entorhinal cortex. To be able to support the formation of episodic memories, entorhinal cortex and hippocampal formation should contain a neuronal code that follows several requirements. First, the code should include information about position of the agent (“where”), sequence of events (“when”), and the content of the experience itself (“what”). Second, the code should arise instantly thereby being able to support memory formation of one</w:instrText>
      </w:r>
      <w:r w:rsidR="007F237D">
        <w:rPr>
          <w:rFonts w:ascii="Cambria Math" w:hAnsi="Cambria Math" w:cs="Cambria Math"/>
        </w:rPr>
        <w:instrText>‐</w:instrText>
      </w:r>
      <w:r w:rsidR="007F237D">
        <w:instrText>shot experiences. For successful encoding and to avoid interference between memories during recall, variations in location, time, or in content of experience should result in unique ensemble activity. Finally, the code should capture several different resolutions of experience so that the necessary details relevant for future memory</w:instrText>
      </w:r>
      <w:r w:rsidR="007F237D">
        <w:rPr>
          <w:rFonts w:ascii="Cambria Math" w:hAnsi="Cambria Math" w:cs="Cambria Math"/>
        </w:rPr>
        <w:instrText>‐</w:instrText>
      </w:r>
      <w:r w:rsidR="007F237D">
        <w:instrText>based predictions will be stored. We review how neuronal codes in entorhinal cortex and hippocampus follow these requirements and argue that during formation of episodic memories entorhinal cortex provides hippocampus with instant information about ongoing experience. Such information originates from (a) spatially modulated neurons in medial entorhinal cortex, including grid cells, which provide a stable and universal positional metric of the environment; (b) a continuously varying signal in lateral entorhinal cortex providing a code for the temporal progression of events; and (c) entorhinal neurons coding the content of experiences exemplified by object</w:instrText>
      </w:r>
      <w:r w:rsidR="007F237D">
        <w:rPr>
          <w:rFonts w:ascii="Cambria Math" w:hAnsi="Cambria Math" w:cs="Cambria Math"/>
        </w:rPr>
        <w:instrText>‐</w:instrText>
      </w:r>
      <w:r w:rsidR="007F237D">
        <w:instrText>coding and odor</w:instrText>
      </w:r>
      <w:r w:rsidR="007F237D">
        <w:rPr>
          <w:rFonts w:ascii="Cambria Math" w:hAnsi="Cambria Math" w:cs="Cambria Math"/>
        </w:rPr>
        <w:instrText>‐</w:instrText>
      </w:r>
      <w:r w:rsidR="007F237D">
        <w:instrText>selective neurons. During formation of episodic memories, information from these systems are thought to be encoded as unique sequential ensemble activity in hippocampus, thereby encoding associations between the content of an event and its spatial and temporal contexts. Upon exposure to parts of the encoded stimuli, activity in these ensembles can be reinstated, leading to reactivation of the encoded activity pattern and memory recollection.","container-title":"Hippocampus","DOI":"10.1002/hipo.23132","ISSN":"1050-9631, 1098-1063","issue":"12","journalAbbreviation":"Hippocampus","language":"en","page":"1190-1205","source":"DOI.org (Crossref)","title":"Episodic memory: Neuronal codes for what, where, and when","title-short":"Episodic memory","volume":"29","author":[{"family":"Sugar","given":"Jørgen"},{"family":"Moser","given":"May</w:instrText>
      </w:r>
      <w:r w:rsidR="007F237D">
        <w:rPr>
          <w:rFonts w:ascii="Cambria Math" w:hAnsi="Cambria Math" w:cs="Cambria Math"/>
        </w:rPr>
        <w:instrText>‐</w:instrText>
      </w:r>
      <w:r w:rsidR="007F237D">
        <w:instrText xml:space="preserve">Britt"}],"issued":{"date-parts":[["2019",12]]}}}],"schema":"https://github.com/citation-style-language/schema/raw/master/csl-citation.json"} </w:instrText>
      </w:r>
      <w:r>
        <w:fldChar w:fldCharType="separate"/>
      </w:r>
      <w:r w:rsidR="007F237D" w:rsidRPr="007F237D">
        <w:rPr>
          <w:rFonts w:cs="Arial"/>
        </w:rPr>
        <w:t>(Sugar &amp; Moser, 2019)</w:t>
      </w:r>
      <w:r>
        <w:fldChar w:fldCharType="end"/>
      </w:r>
      <w:r>
        <w:t xml:space="preserve">. Em contraste ao que é estabelecido na memória semântica, além de armazenar informações conceituais e suas relações entre si, a memória episódica envolve a recordação de detalhes contextuais e a capacidade de "viajar no tempo mentalmente" para reviver experiências passadas </w:t>
      </w:r>
      <w:r>
        <w:fldChar w:fldCharType="begin"/>
      </w:r>
      <w:r w:rsidR="007F237D">
        <w:instrText xml:space="preserve"> ADDIN ZOTERO_ITEM CSL_CITATION {"citationID":"P5424oyT","properties":{"formattedCitation":"(Eichenbaum, 2017; Sugar &amp; Moser, 2019; Tulving, 1992)","plainCitation":"(Eichenbaum, 2017; Sugar &amp; Moser, 2019; Tulving, 1992)","noteIndex":0},"citationItems":[{"id":3617,"uris":["http://zotero.org/users/7052761/items/BR3ZGM62"],"itemData":{"id":3617,"type":"article-journal","abstract":"There is considerable recent evidence that, in addition to its representation of space, the hippocampus also represents the temporal organization of memories. Time plays a central role in episodic memory, and studies have identified the hippocampus as playing an essential role in the temporal organization of memories in humans and animals. Temporal organization is supported by a gradually changing temporal context signal in the hippocampus, and this changing context signal involves ‘time cells’ in the hippocampus that code sequential moments in temporally organized experiences. Finally, hippocampal temporal context representations involve mechanisms in intrinsic circuitry and oscillatory patterns throughout hippocampal subfields and depend on inputs from parahippocampal cortical areas as well as a widespread temporal processing system in the neocortex.","collection-title":"Memory in time and space","container-title":"Current Opinion in Behavioral Sciences","DOI":"10.1016/j.cobeha.2017.06.010","ISSN":"23521546","journalAbbreviation":"Current Opinion in Behavioral Sciences","language":"en","page":"65-70","source":"DOI.org (Crossref)","title":"Time (and space) in the hippocampus","volume":"17","author":[{"family":"Eichenbaum","given":"Howard"}],"issued":{"date-parts":[["2017",10]]}}},{"id":3642,"uris":["http://zotero.org/users/7052761/items/7KGZBDHR"],"itemData":{"id":3642,"type":"article-journal","abstract":"Abstract\n            Episodic memory is defined as the ability to recall events in a spatiotemporal context. Formation of such memories is critically dependent on the hippocampal formation and its inputs from the entorhinal cortex. To be able to support the formation of episodic memories, entorhinal cortex and hippocampal formation should contain a neuronal code that follows several requirements. First, the code should include information about position of the agent (“where”), sequence of events (“when”), and the content of the experience itself (“what”). Second, the code should arise instantly thereby being able to support memory formation of one</w:instrText>
      </w:r>
      <w:r w:rsidR="007F237D">
        <w:rPr>
          <w:rFonts w:ascii="Cambria Math" w:hAnsi="Cambria Math" w:cs="Cambria Math"/>
        </w:rPr>
        <w:instrText>‐</w:instrText>
      </w:r>
      <w:r w:rsidR="007F237D">
        <w:instrText>shot experiences. For successful encoding and to avoid interference between memories during recall, variations in location, time, or in content of experience should result in unique ensemble activity. Finally, the code should capture several different resolutions of experience so that the necessary details relevant for future memory</w:instrText>
      </w:r>
      <w:r w:rsidR="007F237D">
        <w:rPr>
          <w:rFonts w:ascii="Cambria Math" w:hAnsi="Cambria Math" w:cs="Cambria Math"/>
        </w:rPr>
        <w:instrText>‐</w:instrText>
      </w:r>
      <w:r w:rsidR="007F237D">
        <w:instrText>based predictions will be stored. We review how neuronal codes in entorhinal cortex and hippocampus follow these requirements and argue that during formation of episodic memories entorhinal cortex provides hippocampus with instant information about ongoing experience. Such information originates from (a) spatially modulated neurons in medial entorhinal cortex, including grid cells, which provide a stable and universal positional metric of the environment; (b) a continuously varying signal in lateral entorhinal cortex providing a code for the temporal progression of events; and (c) entorhinal neurons coding the content of experiences exemplified by object</w:instrText>
      </w:r>
      <w:r w:rsidR="007F237D">
        <w:rPr>
          <w:rFonts w:ascii="Cambria Math" w:hAnsi="Cambria Math" w:cs="Cambria Math"/>
        </w:rPr>
        <w:instrText>‐</w:instrText>
      </w:r>
      <w:r w:rsidR="007F237D">
        <w:instrText>coding and odor</w:instrText>
      </w:r>
      <w:r w:rsidR="007F237D">
        <w:rPr>
          <w:rFonts w:ascii="Cambria Math" w:hAnsi="Cambria Math" w:cs="Cambria Math"/>
        </w:rPr>
        <w:instrText>‐</w:instrText>
      </w:r>
      <w:r w:rsidR="007F237D">
        <w:instrText>selective neurons. During formation of episodic memories, information from these systems are thought to be encoded as unique sequential ensemble activity in hippocampus, thereby encoding associations between the content of an event and its spatial and temporal contexts. Upon exposure to parts of the encoded stimuli, activity in these ensembles can be reinstated, leading to reactivation of the encoded activity pattern and memory recollection.","container-title":"Hippocampus","DOI":"10.1002/hipo.23132","ISSN":"1050-9631, 1098-1063","issue":"12","journalAbbreviation":"Hippocampus","language":"en","page":"1190-1205","source":"DOI.org (Crossref)","title":"Episodic memory: Neuronal codes for what, where, and when","title-short":"Episodic memory","volume":"29","author":[{"family":"Sugar","given":"Jørgen"},{"family":"Moser","given":"May</w:instrText>
      </w:r>
      <w:r w:rsidR="007F237D">
        <w:rPr>
          <w:rFonts w:ascii="Cambria Math" w:hAnsi="Cambria Math" w:cs="Cambria Math"/>
        </w:rPr>
        <w:instrText>‐</w:instrText>
      </w:r>
      <w:r w:rsidR="007F237D">
        <w:instrText xml:space="preserve">Britt"}],"issued":{"date-parts":[["2019",12]]}}},{"id":3639,"uris":["http://zotero.org/users/7052761/items/BGLRWWWQ"],"itemData":{"id":3639,"type":"book","collection-number":"2","collection-title":"Oxford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(Eichenbaum, 2017; Sugar &amp; Moser, 2019; Tulving, 1992)</w:t>
      </w:r>
      <w:r>
        <w:fldChar w:fldCharType="end"/>
      </w:r>
      <w:r>
        <w:t xml:space="preserve">. Em </w:t>
      </w:r>
      <w:r w:rsidR="00310B66" w:rsidRPr="00310B66">
        <w:t xml:space="preserve">particular, permite ao indivíduo reviver mentalmente eventos específicos no tempo e no espaço, contribuindo </w:t>
      </w:r>
      <w:r w:rsidR="00310B66" w:rsidRPr="00310B66">
        <w:lastRenderedPageBreak/>
        <w:t xml:space="preserve">para a sensação de continuidade do self e para a organização narrativa da identidade </w:t>
      </w:r>
      <w:r w:rsidR="00CA6B30">
        <w:t>individual</w:t>
      </w:r>
      <w:r w:rsidR="00310B66">
        <w:t xml:space="preserve"> </w:t>
      </w:r>
      <w:r w:rsidR="00310B66">
        <w:fldChar w:fldCharType="begin"/>
      </w:r>
      <w:r w:rsidR="00310B66">
        <w:instrText xml:space="preserve"> ADDIN ZOTERO_ITEM CSL_CITATION {"citationID":"M6IRPX89","properties":{"formattedCitation":"(Addis, 2020; Tulving, 2002)","plainCitation":"(Addis, 2020; Tulving, 2002)","noteIndex":0},"citationItems":[{"id":3618,"uris":["http://zotero.org/users/7052761/items/XIQHZK7D"],"itemData":{"id":3618,"type":"article-journal","abstract":"Mental time travel (MTT) is defined as projecting the self into the past and the future. Despite growing evidence of the similarities of remembering past and imagining future events, dominant theories conceive of these as distinct capacities. I propose that memory and imagination are fundamentally the same process—constructive episodic simulation—and demonstrate that the ‘simulation system’ meets the three criteria of a neurocognitive system. Irrespective of whether one is remembering or imagining, the simulation system: (1) acts on the same information, drawing on elements of experience ranging from fine-grained perceptual details to coarser-grained conceptual information and schemas about the world; (2) is governed by the same rules of operation, including associative processes that facilitate construction of a schematic scaffold, the event representation itself, and the dynamic interplay between the two (cf. predictive coding); and (3) is subserved by the same brain system. I also propose that by forming associations between schemas, the simulation system constructs multi-dimensional cognitive spaces, within which any given simulation is mapped by the hippocampus. Finally, I suggest that simulation is a general capacity that underpins other domains of cognition, such as the perception of ongoing experience. This proposal has some important implications for the construct of ‘MTT’, suggesting that ‘time’ and ‘travel’ may not be defining, or even essential, features. Rather, it is the ‘mental’ rendering of experience that is the most fundamental function of this domain-general simulation system enabling humans to re-experience the past, pre-experience the future, and also comprehend the complexities of the present. (PsycInfo Database Record (c) 2025 APA, all rights reserved)","container-title":"Review of Philosophy and Psychology","DOI":"10.1007/s13164-020-00470-0","ISSN":"1878-5166","issue":"2","note":"publisher-place: Germany\npublisher: Springer","page":"233-259","source":"APA PsycNet","title":"Mental time travel? A neurocognitive model of event simulation","title-short":"Mental time travel?","volume":"11","author":[{"family":"Addis","given":"Donna Rose"}],"issued":{"date-parts":[["2020"]]}}},{"id":3609,"uris":["http://zotero.org/users/7052761/items/W8DZMFN2"],"itemData":{"id":3609,"type":"article-journal","abstract":"[Figure: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Memory","volume":"53","author":[{"family":"Tulving","given":"Endel"}],"issued":{"date-parts":[["2002",2]]}}}],"schema":"https://github.com/citation-style-language/schema/raw/master/csl-citation.json"} </w:instrText>
      </w:r>
      <w:r w:rsidR="00310B66">
        <w:fldChar w:fldCharType="separate"/>
      </w:r>
      <w:r w:rsidR="007F237D" w:rsidRPr="007F237D">
        <w:rPr>
          <w:rFonts w:cs="Arial"/>
        </w:rPr>
        <w:t>(Addis, 2020; Tulving, 2002)</w:t>
      </w:r>
      <w:r w:rsidR="00310B66">
        <w:fldChar w:fldCharType="end"/>
      </w:r>
      <w:r w:rsidR="00310B66">
        <w:t>.</w:t>
      </w:r>
    </w:p>
    <w:p w14:paraId="41E19AA5" w14:textId="5E73334A" w:rsidR="00505D34" w:rsidRDefault="002F6043" w:rsidP="00505D34">
      <w:pPr>
        <w:ind w:firstLine="720"/>
      </w:pPr>
      <w:r>
        <w:t xml:space="preserve">Esse aspecto da memória é fundamental para comportamentos que, em última instância, se tornam a base para indivíduos que constroem narrativas que incluem a participação de indivíduos da mesma espécie em interações intraespecíficas, como por exemplo relações de hierarquia social vista em diversos animais sociais como peixes, aves e mamíferos </w:t>
      </w:r>
      <w:r>
        <w:fldChar w:fldCharType="begin"/>
      </w:r>
      <w:r w:rsidR="002A5923">
        <w:instrText xml:space="preserve"> ADDIN ZOTERO_ITEM CSL_CITATION {"citationID":"lpATSvKl","properties":{"formattedCitation":"(Chase et al., 2002)","plainCitation":"(Chase et al., 2002)","noteIndex":0},"citationItems":[{"id":3610,"uris":["http://zotero.org/users/7052761/items/JHA9KKWP"],"itemData":{"id":3610,"type":"article-journal","container-title":"Proceedings of the National Academy of Sciences of the United States of America","DOI":"10.1073/pnas.082104199","journalAbbreviation":"Proceedings of the National Academy of Sciences of the United States of America","language":"en","note":"DOI: 10.1073/pnas.082104199","page":"5744 - 5749","title":"Individual differences versus social dynamics in the formation of animal dominance hierarchies","volume":"99","author":[{"family":"Chase","given":"Ivan D"},{"family":"Tovey","given":"C."},{"family":"Spangler-Martin","given":"Debra"},{"family":"Manfredonia","given":"M."}],"issued":{"date-parts":[["2002"]]}}}],"schema":"https://github.com/citation-style-language/schema/raw/master/csl-citation.json"} </w:instrText>
      </w:r>
      <w:r>
        <w:fldChar w:fldCharType="separate"/>
      </w:r>
      <w:r w:rsidR="007F237D" w:rsidRPr="007F237D">
        <w:rPr>
          <w:rFonts w:cs="Arial"/>
        </w:rPr>
        <w:t>(Chase et al., 2002)</w:t>
      </w:r>
      <w:r>
        <w:fldChar w:fldCharType="end"/>
      </w:r>
      <w:r>
        <w:t xml:space="preserve">. </w:t>
      </w:r>
      <w:r w:rsidR="00505D34" w:rsidRPr="00505D34">
        <w:t>A</w:t>
      </w:r>
      <w:r w:rsidR="00505D34">
        <w:t>ssim,</w:t>
      </w:r>
      <w:r w:rsidR="00505D34" w:rsidRPr="00505D34">
        <w:t xml:space="preserve"> dimensão autobiográfica da memória não se restringe ao domínio individual: ela também fornece a base cognitiva para o comportamento social.</w:t>
      </w:r>
    </w:p>
    <w:p w14:paraId="77B2F004" w14:textId="020E2B28" w:rsidR="003A4D7D" w:rsidRDefault="002F6043" w:rsidP="00505D34">
      <w:pPr>
        <w:ind w:firstLine="720"/>
      </w:pPr>
      <w:r w:rsidRPr="00505D34">
        <w:t>A capacidade de lembrar eventos passados e suas consequências permite que os indivíduos aprendam com suas experiências, ajustem seus comportamentos e tomem decisões informadas no presente e no futuro</w:t>
      </w:r>
      <w:r w:rsidR="00505D34">
        <w:t xml:space="preserve"> </w:t>
      </w:r>
      <w:r w:rsidR="00505D34">
        <w:fldChar w:fldCharType="begin"/>
      </w:r>
      <w:r w:rsidR="00505D34">
        <w:instrText xml:space="preserve"> ADDIN ZOTERO_ITEM CSL_CITATION {"citationID":"8j0mssfa","properties":{"formattedCitation":"(Dudai, 2002)","plainCitation":"(Dudai, 2002)","noteIndex":0},"citationItems":[{"id":3594,"uris":["http://zotero.org/users/7052761/items/GBX3B3DA"],"itemData":{"id":3594,"type":"book","abstract":"\"This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Z","editor":[{"family":"Dudai","given":"Yadin"}],"issued":{"date-parts":[["2002"]]}}}],"schema":"https://github.com/citation-style-language/schema/raw/master/csl-citation.json"} </w:instrText>
      </w:r>
      <w:r w:rsidR="00505D34">
        <w:fldChar w:fldCharType="separate"/>
      </w:r>
      <w:r w:rsidR="007F237D" w:rsidRPr="007F237D">
        <w:rPr>
          <w:rFonts w:cs="Arial"/>
        </w:rPr>
        <w:t>(Dudai, 2002)</w:t>
      </w:r>
      <w:r w:rsidR="00505D34">
        <w:fldChar w:fldCharType="end"/>
      </w:r>
      <w:r w:rsidR="00505D34">
        <w:t xml:space="preserve">. Isso </w:t>
      </w:r>
      <w:r w:rsidR="00505D34" w:rsidRPr="00505D34">
        <w:t>constitui um papel importante</w:t>
      </w:r>
      <w:r w:rsidRPr="00505D34">
        <w:t xml:space="preserve"> não apenas </w:t>
      </w:r>
      <w:r w:rsidR="00505D34" w:rsidRPr="00505D34">
        <w:t>para</w:t>
      </w:r>
      <w:r w:rsidRPr="00505D34">
        <w:t xml:space="preserve"> a construção do tempo e do espaço subjetivos, mas também para a adaptação e sobrevivência dos indivíduos em seus ambientes sociais e físicos já que, para animais que vivem em sociedades ou grupos, a capacidade de lembrar e reconhecer diferentes indivíduos conspecíficos é crucial para exibir o comportamento social apropriado, como agressão, evitação, comportamento cooperativo e até mesmo comportamento de acasalamento </w:t>
      </w:r>
      <w:r w:rsidRPr="00505D34">
        <w:fldChar w:fldCharType="begin"/>
      </w:r>
      <w:r w:rsidRPr="00505D34">
        <w:instrText xml:space="preserve"> ADDIN ZOTERO_ITEM CSL_CITATION {"citationID":"oG8H3vTR","properties":{"formattedCitation":"(Okuyama, 2018)","plainCitation":"(Okuyama, 2018)","noteIndex":0},"citationItems":[{"id":3613,"uris":["http://zotero.org/users/7052761/items/WETQTZYM"],"itemData":{"id":3613,"type":"article-journal","abstract":"Social memory is one of the crucial components of episodic memories. Gregarious animals living in societies utilize social memory to exhibit the appropriate social behaviors such as aggression, avoidance, cooperative behavior, and even mating behavior. However, the neural mechanisms underlying social memory in the hippocampus remains mysterious. Here, I review some evidence from work done in rodents and primates on the brain region(s) and circuits encoding and/or retrieving social memory, as well as a storage for social memory (i.e. social memory engram neurons). Based on our recent findings that neural ensemble in ventral CA1 sub-region of the hippocampus possesses social memory engram, I would discuss the neural network for social information processing in order to encode social memory; and its evolutionary conservation between rodents and human.","collection-title":"Achievements of Japan neuroscience award winners","container-title":"Neuroscience Research","DOI":"10.1016/j.neures.2017.05.007","ISSN":"01680102","journalAbbreviation":"Neuroscience Research","language":"en","page":"17-23","source":"DOI.org (Crossref)","title":"Social memory engram in the hippocampus","volume":"129","author":[{"family":"Okuyama","given":"Teruhiro"}],"issued":{"date-parts":[["2018",4]]}}}],"schema":"https://github.com/citation-style-language/schema/raw/master/csl-citation.json"} </w:instrText>
      </w:r>
      <w:r w:rsidRPr="00505D34">
        <w:fldChar w:fldCharType="separate"/>
      </w:r>
      <w:r w:rsidR="007F237D" w:rsidRPr="007F237D">
        <w:rPr>
          <w:rFonts w:cs="Arial"/>
        </w:rPr>
        <w:t>(Okuyama, 2018)</w:t>
      </w:r>
      <w:r w:rsidRPr="00505D34">
        <w:fldChar w:fldCharType="end"/>
      </w:r>
      <w:r w:rsidRPr="00505D34">
        <w:t>.</w:t>
      </w:r>
    </w:p>
    <w:p w14:paraId="79CC5560" w14:textId="1AEEB3DE" w:rsidR="0096274D" w:rsidRDefault="0096274D" w:rsidP="00955D8F">
      <w:pPr>
        <w:ind w:firstLine="720"/>
      </w:pPr>
      <w:r>
        <w:t xml:space="preserve">A memória episódica, ao permitir que o indivíduo reviva mentalmente experiências passadas, fornece os alicerces para a construção do conjunto de lembranças que formam a narrativa </w:t>
      </w:r>
      <w:r w:rsidR="00CA6B30">
        <w:t>individual</w:t>
      </w:r>
      <w:r>
        <w:t xml:space="preserve"> e sustentam a continuidade do </w:t>
      </w:r>
      <w:r w:rsidRPr="0096274D">
        <w:rPr>
          <w:i/>
          <w:iCs/>
        </w:rPr>
        <w:t>self</w:t>
      </w:r>
      <w:r w:rsidR="00955D8F">
        <w:rPr>
          <w:i/>
          <w:iCs/>
        </w:rPr>
        <w:t xml:space="preserve"> </w:t>
      </w:r>
      <w:r w:rsidR="00955D8F">
        <w:rPr>
          <w:i/>
          <w:iCs/>
        </w:rPr>
        <w:fldChar w:fldCharType="begin"/>
      </w:r>
      <w:r w:rsidR="007F237D">
        <w:rPr>
          <w:i/>
          <w:iCs/>
        </w:rPr>
        <w:instrText xml:space="preserve"> ADDIN ZOTERO_ITEM CSL_CITATION {"citationID":"zzApfkRr","properties":{"formattedCitation":"(Conway &amp; Pleydell-Pearce, 2000; Tulving, 2002; Wu et al., 2023)","plainCitation":"(Conway &amp; Pleydell-Pearce, 2000; Tulving, 2002; Wu et al., 2023)","noteIndex":0},"citationItems":[{"id":3652,"uris":["http://zotero.org/users/7052761/items/A2LC3QVV"],"itemData":{"id":3652,"type":"article-journal","abstract":"The authors describe a model of autobiographical memory in which memories are transitory mental constructions within a self-memory system (SMS). The SMS contains an autobiographical knowledge base and current goals of the working self. Within the SMS, control processes modulate access to the knowledge base by successively shaping cues used to activate autobiographical memory knowledge structures and, in this way, form specific memories. The relation of the knowledge base to active goals is reciprocal, and the knowledge base \"grounds\" the goals of the working self. It is shown how this model can be used to draw together a wide range of diverse data from cognitive, social, developmental, personality, clinical, and neuropsychological autobiographical memory research. (PsycInfo Database Record (c) 2025 APA, all rights reserved)","container-title":"Psychological Review","DOI":"10.1037/0033-295X.107.2.261","ISSN":"1939-1471","issue":"2","note":"publisher-place: US\npublisher: American Psychological Association","page":"261-288","source":"APA PsycNet","title":"The construction of autobiographical memories in the self-memory system","volume":"107","author":[{"family":"Conway","given":"Martin A."},{"family":"Pleydell-Pearce","given":"Christopher W."}],"issued":{"date-parts":[["2000"]]}}},{"id":3609,"uris":["http://zotero.org/users/7052761/items/W8DZMFN2"],"itemData":{"id":3609,"type":"article-journal","abstract":"[Figure: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955D8F">
        <w:rPr>
          <w:i/>
          <w:iCs/>
        </w:rPr>
        <w:fldChar w:fldCharType="separate"/>
      </w:r>
      <w:r w:rsidR="007F237D" w:rsidRPr="007F237D">
        <w:rPr>
          <w:rFonts w:cs="Arial"/>
        </w:rPr>
        <w:t>(Conway &amp; Pleydell-Pearce, 2000; Tulving, 2002; Wu et al., 2023)</w:t>
      </w:r>
      <w:r w:rsidR="00955D8F">
        <w:rPr>
          <w:i/>
          <w:iCs/>
        </w:rPr>
        <w:fldChar w:fldCharType="end"/>
      </w:r>
      <w:r>
        <w:t>. Essa capacidade de situar-se no tempo e no espaço subjetivos não apenas organiza a identidade individual, mas também serve de base para compreender e antecipar o comportamento de outros. Em outras palavras, recordar-se de experiências pessoais fornece o material cognitivo a partir do qual os indivíduos inferem intenções, emoções e padrões de ação em contextos sociais.</w:t>
      </w:r>
    </w:p>
    <w:p w14:paraId="6BC20690" w14:textId="2CEBB807" w:rsidR="0096274D" w:rsidRDefault="0096274D" w:rsidP="00955D8F">
      <w:pPr>
        <w:ind w:firstLine="720"/>
      </w:pPr>
      <w:r>
        <w:t xml:space="preserve">Nesse sentido, a memória autobiográfica funciona como um elo entre o domínio individual e o social. A evocação de eventos passados que envolvem </w:t>
      </w:r>
      <w:r w:rsidR="00955D8F">
        <w:t xml:space="preserve">as interações sociais </w:t>
      </w:r>
      <w:r>
        <w:t xml:space="preserve">permite reconhecer regularidades e ajustar respostas comportamentais a diferentes </w:t>
      </w:r>
      <w:r w:rsidR="00955D8F">
        <w:t>contextos</w:t>
      </w:r>
      <w:r>
        <w:t xml:space="preserve">. Essa integração entre memória </w:t>
      </w:r>
      <w:r w:rsidR="00955D8F">
        <w:t>individual</w:t>
      </w:r>
      <w:r>
        <w:t xml:space="preserve"> e representação social é observada em múltiplas espécies sociais, sugerindo que a recordação de experiências </w:t>
      </w:r>
      <w:r>
        <w:lastRenderedPageBreak/>
        <w:t>relacionais é uma ferramenta adaptativa para a navegação em ambientes interativos e hierarquicamente estruturados (Chase et al., 2002; Okuyama, 2018).</w:t>
      </w:r>
    </w:p>
    <w:p w14:paraId="44739097" w14:textId="2C1E1D9D" w:rsidR="0096274D" w:rsidRPr="00E83B86" w:rsidRDefault="0096274D" w:rsidP="00955D8F">
      <w:pPr>
        <w:ind w:firstLine="720"/>
      </w:pPr>
      <w:r>
        <w:t>Assim, a memória social emerge como uma extensão e especialização da memória autobiográfica, integrando lembranças individuais a contextos coletivos e possibilitando comportamentos socialmente adequados. Essa interdependência entre memória, identidade e interação social revela que a construção do self é, simultaneamente, um processo individual e intersubjetivo. A capacidade de recordar, interpretar e projetar experiências compartilhadas sustenta não apenas a coesão interna do sujeito, mas também sua inserção dinâmica em redes sociais complexas</w:t>
      </w:r>
      <w:r w:rsidR="00955D8F">
        <w:t xml:space="preserve"> </w:t>
      </w:r>
      <w:r w:rsidR="00955D8F">
        <w:fldChar w:fldCharType="begin"/>
      </w:r>
      <w:r w:rsidR="007F237D">
        <w:instrText xml:space="preserve"> ADDIN ZOTERO_ITEM CSL_CITATION {"citationID":"tH4yy2HX","properties":{"formattedCitation":"(Dunbar, 2009; Lunardi et al., 2021; Rubin, 2005; Tost et al., 2015; Tulving, 1992)","plainCitation":"(Dunbar, 2009; Lunardi et al., 2021; Rubin, 2005; Tost et al., 2015; Tulving, 1992)","noteIndex":0},"citationItems":[{"id":3657,"uris":["http://zotero.org/users/7052761/items/8R92BA6D"],"itemData":{"id":3657,"type":"article-journal","abstract":"The social brain hypothesis was proposed as an explanation for the fact that primates have unusually large brains for body size compared to all other vertebrates: Primates evolved large brains to manage their unusually complex social systems. Although this proposal has been generalized to all vertebrate taxa as an explanation for brain evolution, recent analyses suggest that the social brain hypothesis takes a very different form in other mammals and birds than it does in anthropoid primates. In primates, there is a quantitative relationship between brain size and social group size (group size is a monotonic function of brain size), presumably because the cognitive demands of sociality place a constraint on the number of individuals that can be maintained in a coherent group. In other mammals and birds, the relationship is a qualitative one: Large brains are associated with categorical differences in mating system, with species that have pairbonded mating systems having the largest brains. It seems that anthropoid primates may have generalized the bonding processes that characterize monogamous pairbonds to other non-reproductive relationships (‘friendships’), thereby giving rise to the quantitative relationship between group size and brain size that we find in this taxon. This raises issues about why bonded relationships are cognitively so demanding (and, indeed, raises questions about what a bonded relationship actually is), and when and why primates undertook this change in social style.","container-title":"Annals of Human Biology","DOI":"10.1080/03014460902960289","ISSN":"0301-4460","issue":"5","note":"publisher: Taylor &amp; Francis\n_eprint: https://doi.org/10.1080/03014460902960289\nPMID: 19575315","page":"562-572","source":"Taylor and Francis+NEJM","title":"The social brain hypothesis and its implications for social evolution","volume":"36","author":[{"family":"Dunbar","given":"R.I.M."}],"issued":{"date-parts":[["2009",1,1]]}}},{"id":102,"uris":["http://zotero.org/users/7052761/items/DGJIS9JP"],"itemData":{"id":102,"type":"article-journal","abstract":"Social memory (SM) is a key element in social cognition and it encompasses the neural representation of conspecifics, an essential information to guide behavior in a social context. Here we evaluate classical and cutting-edge studies on neurobiology of SM, using as a guiding principle behavioral tasks performed in adult rodents. Our review highlights the relevance of the hippocampus, especially the CA2 region, as a neural substrate for SM and suggest that neural ensembles in the olfactory bulb may also encode SM traces. Compared to other hippocampus-dependent memories, much remains to be done to describe the neurobiological foundations of SM. Nonetheless, we argue that special attention should be paid to neurogenesis. Finally, we pinpoint the remaining open question on whether the hippocampal adult neurogenesis acts through pattern separation to permit the discrimination of highly similar stimuli during behavior.","container-title":"Brain Research Bulletin","DOI":"10.1016/j.brainresbull.2021.03.006","ISSN":"0361-9230","journalAbbreviation":"Brain Research Bulletin","page":"56-66","source":"ScienceDirect","title":"On the novel mechanisms for social memory and the emerging role of neurogenesis","volume":"171","author":[{"family":"Lunardi","given":"Paula"},{"family":"Mansk","given":"Lara M. Z."},{"family":"Jaimes","given":"Laura F."},{"family":"Pereira","given":"Grace S."}],"issued":{"date-parts":[["2021",6,1]]}}},{"id":3654,"uris":["http://zotero.org/users/7052761/items/KVV4TWCG"],"itemData":{"id":3654,"type":"article-journal","abstract":"Memory for complex everyday events involving vision, hearing, smell, emotion, narrative, and language cannot be understood without considering the properties of the separate systems that process and store each of these forms of information. Using this premise as a starting point, my colleagues and I found that visual memory plays a central role in autobiographical memory: The strength of recollection of an event is predicted best by the vividness of its visual imagery, and a loss of visual memory causes a general amnesia. Examination of autobiographical memories in individuals with posttraumatic stress disorder (PTSD) suggests that the lack of coherence often noted in memories of traumatic events is not due to a lack of coherence either of the memory itself or of the narrative that integrates the memory into the life story. Rather, making the traumatic memory central to the life story correlates positively with increased PTSD symptoms. The basic-systems approach has yielded insights into autobiographical memory's phenomenology, neuropsychology, clinical disorders, and neural basis. (PsycINFO Database Record (c) 2016 APA, all rights reserved)","container-title":"Current Directions in Psychological Science","DOI":"10.1111/j.0963-7214.2005.00339.x","ISSN":"1467-8721","issue":"2","note":"publisher-place: United Kingdom\npublisher: Blackwell Publishing","page":"79-83","source":"APA PsycNet","title":"A Basic-Systems Approach to Autobiographical Memory","volume":"14","author":[{"family":"Rubin","given":"David C."}],"issued":{"date-parts":[["2005"]]}}},{"id":3655,"uris":["http://zotero.org/users/7052761/items/EM6APDAG"],"itemData":{"id":3655,"type":"article-journal","abstract":"Environmental influences affect the brain and mental health and often are social or have social components, even the more complex societal or area-level exposures. This Review discusses the neural correlates of adverse and protective social influences and argues that innovative methods may provide ecologically more valid insights in social neuroscience.","container-title":"Nature Neuroscience","DOI":"10.1038/nn.4108","ISSN":"1546-1726","issue":"10","journalAbbreviation":"Nat Neurosci","language":"en","license":"2015 Springer Nature America, Inc.","note":"publisher: Nature Publishing Group","page":"1421-1431","source":"www.nature.com","title":"Environmental influence in the brain, human welfare and mental health","volume":"18","author":[{"family":"Tost","given":"Heike"},{"family":"Champagne","given":"Frances A."},{"family":"Meyer-Lindenberg","given":"Andreas"}],"issued":{"date-parts":[["2015",10]]}}},{"id":3639,"uris":["http://zotero.org/users/7052761/items/BGLRWWWQ"],"itemData":{"id":3639,"type":"book","collection-number":"2","collection-title":"Oxford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rsidR="00955D8F">
        <w:fldChar w:fldCharType="separate"/>
      </w:r>
      <w:r w:rsidR="007F237D" w:rsidRPr="007F237D">
        <w:rPr>
          <w:rFonts w:cs="Arial"/>
        </w:rPr>
        <w:t>(Dunbar, 2009; Lunardi et al., 2021; Rubin, 2005; Tost et al., 2015; Tulving, 1992)</w:t>
      </w:r>
      <w:r w:rsidR="00955D8F">
        <w:fldChar w:fldCharType="end"/>
      </w:r>
      <w:r w:rsidRPr="00E83B86">
        <w:t>.</w:t>
      </w:r>
    </w:p>
    <w:p w14:paraId="12E0FC9A" w14:textId="4406AB2D" w:rsidR="00505D34" w:rsidRPr="00CA6B30" w:rsidRDefault="00505D34" w:rsidP="00505D34">
      <w:pPr>
        <w:ind w:firstLine="720"/>
      </w:pPr>
      <w:r>
        <w:t>A</w:t>
      </w:r>
      <w:r w:rsidRPr="00505D34">
        <w:t xml:space="preserve"> memória </w:t>
      </w:r>
      <w:r>
        <w:t xml:space="preserve">social, portanto, </w:t>
      </w:r>
      <w:r w:rsidRPr="00505D34">
        <w:t xml:space="preserve">funciona como o eixo integrador da experiência subjetiva e social, ancorando o indivíduo em um espaço-tempo interno que possibilita tanto a construção da identidade </w:t>
      </w:r>
      <w:r w:rsidR="00CA6B30">
        <w:t>individual</w:t>
      </w:r>
      <w:r w:rsidRPr="00505D34">
        <w:t xml:space="preserve"> quanto a adaptação comportamental em contextos sociais complexos</w:t>
      </w:r>
      <w:r w:rsidR="002A5923">
        <w:t xml:space="preserve"> </w:t>
      </w:r>
      <w:r w:rsidR="002A5923">
        <w:fldChar w:fldCharType="begin"/>
      </w:r>
      <w:r w:rsidR="007F237D">
        <w:instrText xml:space="preserve"> ADDIN ZOTERO_ITEM CSL_CITATION {"citationID":"qlFswufy","properties":{"formattedCitation":"(Insel &amp; Fernald, 2004; Lieberman, 2013)","plainCitation":"(Insel &amp; Fernald, 2004; Lieberman, 2013)","noteIndex":0},"citationItems":[{"id":3659,"uris":["http://zotero.org/users/7052761/items/4EJ7G8CJ"],"itemData":{"id":3659,"type":"article-journal","abstract":"Because information about gender, kin, and social status are essential for reproduction and survival, it seems likely that specialized neural mechanisms have evolved to process social information. This review describes recent studies of four aspects of social information processing: (a) perception of social signals via the vomeronasal system, (b) formation of social memory via long-term filial imprinting and short-term recognition, (c) motivation for parental behavior and pair bonding, and (d) the neural consequences of social experience. Results from these studies and some recent functional imaging studies in human subjects begin to define the circuitry of a \"social brain.\" Such neurodevelopmental disorders as autism and schizophrenia are characterized by abnormal social cognition and corresponding deficits in social behavior; thus social neuroscience offers an important opportunity for translational research with an impact on public health.","container-title":"Annual Review of Neuroscience","DOI":"10.1146/annurev.neuro.27.070203.144148","ISSN":"0147-006X","journalAbbreviation":"Annu Rev Neurosci","language":"eng","note":"PMID: 15217348","page":"697-722","source":"PubMed","title":"How the brain processes social information: searching for the social brain","title-short":"How the brain processes social information","volume":"27","author":[{"family":"Insel","given":"Thomas R."},{"family":"Fernald","given":"Russell D."}],"issued":{"date-parts":[["2004"]]}}},{"id":3658,"uris":["http://zotero.org/users/7052761/items/ZW8S4GNT"],"itemData":{"id":3658,"type":"book","abstract":"Based on over a decade of groundbreaking research in social neuroscience—how our brains respond to social engagement— Social reveals that our need to connect with other people is even more fundamental than our need for food and shelter. It is, Dr. Lieberman argues, the key to our success as a species, and one of the reasons we evolved large brains in the first place. Lieberman and others have discovered that when our brain is not focused on a specific task, it uses its spare time—its default network—to learn about and master the social world. We've been told that we need to commit 10,000 hours to become a master at complex skills such as chess, music, and math. Lieberman argues that each and every one of us has spent 10,000 hours learning to make sense of people and groups and our place in them by the time we are ten. So many of us believe that physical pain and pleasure guide our actions Yet new research by Lieberman and his UCLA colleagues using fMRI (frontal magnetic resonance imaging) shows that our brains respond to social pain and pleasure just as powerfully as they do to physical plain and pleasure. When asked what the most painful experiences in our lives have been, most of us do not recount an injury or a broken limb—we describe the death of a loved one or the end of a marriage or relationship. Fortunately, the brain has evolved sophisticated mechanisms for securing our place in the social world. We have a unique ability among species to \"read\" other people's minds, to figure out their hopes, fears, and motivations, allowing us to effectively coordinate our lives with one another. This wiring in our brains allows us to restrain our selfish impulses for the greater social good. And it is the malfunctioning of this wiring that leads to the challenges in connecting with others that we see in autism. Based on the latest, cutting-edge research. Social has startling real-world implications for how we work and live. The surprising insights revealed in this pioneering book suggest ways to improve learning in schools, make the workplace more productive, and improve our overall happiness and well-being. (PsycInfo Database Record (c) 2025 APA, all rights reserved)","collection-title":"Social: Why our brains are wired to connect","event-place":"New York, NY, US","ISBN":"978-0-307-88909-6","note":"page: x, 374","number-of-pages":"x, 374","publisher":"Crown Publishers/Random House","publisher-place":"New York, NY, US","source":"APA PsycNet","title":"Social: Why our brains are wired to connect","title-short":"Social","author":[{"family":"Lieberman","given":"Matthew D."}],"issued":{"date-parts":[["2013"]]}}}],"schema":"https://github.com/citation-style-language/schema/raw/master/csl-citation.json"} </w:instrText>
      </w:r>
      <w:r w:rsidR="002A5923">
        <w:fldChar w:fldCharType="separate"/>
      </w:r>
      <w:r w:rsidR="007F237D" w:rsidRPr="007F237D">
        <w:rPr>
          <w:rFonts w:cs="Arial"/>
        </w:rPr>
        <w:t>(Insel &amp; Fernald, 2004; Lieberman, 2013)</w:t>
      </w:r>
      <w:r w:rsidR="002A5923">
        <w:fldChar w:fldCharType="end"/>
      </w:r>
      <w:r w:rsidRPr="00505D34">
        <w:t xml:space="preserve">. Essa capacidade de transitar entre o passado recordado e o futuro antecipado é, portanto, um componente central da cognição </w:t>
      </w:r>
      <w:r>
        <w:t>em</w:t>
      </w:r>
      <w:r w:rsidRPr="00505D34">
        <w:t xml:space="preserve"> espécies sociais, garantindo </w:t>
      </w:r>
      <w:r>
        <w:t>a</w:t>
      </w:r>
      <w:r w:rsidRPr="00505D34">
        <w:t xml:space="preserve"> sobrevivência em ambientes dinâmicos</w:t>
      </w:r>
      <w:r w:rsidR="002A5923">
        <w:t xml:space="preserve"> </w:t>
      </w:r>
      <w:r w:rsidR="002A5923">
        <w:fldChar w:fldCharType="begin"/>
      </w:r>
      <w:r w:rsidR="007F237D">
        <w:instrText xml:space="preserve"> ADDIN ZOTERO_ITEM CSL_CITATION {"citationID":"vZMqlHQm","properties":{"formattedCitation":"(Markowitsch &amp; Staniloiu, 2011; Spreng et al., 2009)","plainCitation":"(Markowitsch &amp; Staniloiu, 2011; Spreng et al., 2009)","noteIndex":0},"citationItems":[{"id":3661,"uris":["http://zotero.org/users/7052761/items/IQ5K5BSQ"],"itemData":{"id":3661,"type":"article-journal","abstract":"Memory is a general attribute of living species, whose diversification reflects both evolutionary and developmental processes. Episodic-autobiographical memory (EAM) is regarded as the highest human ontogenetic achievement and as probably being uniquely human. EAM, autonoetic consciousness and the self are intimately linked, grounding, supporting and enriching each other’s development and cohesiveness. Their development is influenced by the socio-cultural–linguistic environment in which an individual grows up or lives. On the other hand, through language, textualization and social exchange, all three elements leak into the world and participate to the dynamic shaping and re-shaping of the cultural scaffolding of the self, mental time traveling and EAM formation. Deficits in self-related processing, autonetic consciousness, emotional processing and mental time traveling can all lead to or co-occur with EAM disturbances, as we illustrate by findings from EAM impairments associated with neurological or psychiatric disorders.","collection-title":"Brain and Self: Bridging the Gap","container-title":"Consciousness and Cognition","DOI":"10.1016/j.concog.2010.09.005","ISSN":"1053-8100","issue":"1","journalAbbreviation":"Consciousness and Cognition","page":"16-39","source":"ScienceDirect","title":"Memory, autonoetic consciousness, and the self","volume":"20","author":[{"family":"Markowitsch","given":"Hans J."},{"family":"Staniloiu","given":"Angelica"}],"issued":{"date-parts":[["2011",3,1]]}}},{"id":3669,"uris":["http://zotero.org/users/7052761/items/F8QKUT58"],"itemData":{"id":3669,"type":"article-journal","abstract":"A core brain network has been proposed to underlie a number of different processes, including remembering, prospection, navigation, and theory of mind [Buckner, R. L., &amp;amp; Carroll, D. C. Self-projection and the brain. Trends in Cognitive Sciences, 11, 49–57, 2007]. This purported network—medial prefrontal, medial-temporal, and medial and lateral parietal regions—is similar to that observed during default-mode processing and has been argued to represent self-projection [Buckner, R. L., &amp;amp; Carroll, D. C. Self-projection and the brain. Trends in Cognitive Sciences, 11, 49–57, 2007] or scene-construction [Hassabis, D., &amp;amp; Maguire, E. A. Deconstructing episodic memory with construction. Trends in Cognitive Sciences, 11, 299–306, 2007]. To date, no systematic and quantitative demonstration of evidence for this common network has been presented. Using the activation likelihood estimation (ALE) approach, we conducted four separate quantitative meta-analyses of neuroimaging studies on: (a) autobiographical memory, (b) navigation, (c) theory of mind, and (d) default mode. A conjunction analysis between these domains demonstrated a high degree of correspondence. We compared these findings to a separate ALE analysis of prospection studies and found additional correspondence. Across all domains, and consistent with the proposed network, correspondence was found within the medial-temporal lobe, precuneus, posterior cingulate, retrosplenial cortex, and the temporo-parietal junction. Additionally, this study revealed that the core network extends to lateral prefrontal and occipital cortices. Autobiographical memory, prospection, theory of mind, and default mode demonstrated further reliable involvement of the medial prefrontal cortex and lateral temporal cortices. Autobiographical memory and theory of mind, previously studied as distinct, exhibited extensive functional overlap. These findings represent quantitative evidence for a core network underlying a variety of cognitive domains.","container-title":"Journal of Cognitive Neuroscience","DOI":"10.1162/jocn.2008.21029","ISSN":"0898-929X","issue":"3","journalAbbreviation":"J Cogn Neurosci","page":"489-510","source":"Silverchair","title":"The Common Neural Basis of Autobiographical Memory, Prospection, Navigation, Theory of Mind, and the Default Mode: A Quantitative Meta-analysis","title-short":"The Common Neural Basis of Autobiographical Memory, Prospection, Navigation, Theory of Mind, and the Default Mode","volume":"21","author":[{"family":"Spreng","given":"R. Nathan"},{"family":"Mar","given":"Raymond A."},{"family":"Kim","given":"Alice S. N."}],"issued":{"date-parts":[["2009",3,1]]}}}],"schema":"https://github.com/citation-style-language/schema/raw/master/csl-citation.json"} </w:instrText>
      </w:r>
      <w:r w:rsidR="002A5923">
        <w:fldChar w:fldCharType="separate"/>
      </w:r>
      <w:r w:rsidR="007F237D" w:rsidRPr="007F237D">
        <w:rPr>
          <w:rFonts w:cs="Arial"/>
        </w:rPr>
        <w:t>(Markowitsch &amp; Staniloiu, 2011; Spreng et al., 2009)</w:t>
      </w:r>
      <w:r w:rsidR="002A5923">
        <w:fldChar w:fldCharType="end"/>
      </w:r>
    </w:p>
    <w:p w14:paraId="5AABA3E4" w14:textId="77777777" w:rsidR="002F6043" w:rsidRPr="00CA6B30" w:rsidRDefault="002F6043" w:rsidP="002F6043"/>
    <w:p w14:paraId="48C1A860" w14:textId="5B411AAD" w:rsidR="002F6043" w:rsidRPr="00CA6B30" w:rsidRDefault="008D187E" w:rsidP="00351C49">
      <w:pPr>
        <w:pStyle w:val="Heading2"/>
      </w:pPr>
      <w:r>
        <w:t>O HIPOCAMPO COMO BIBLIOTECÁRIO</w:t>
      </w:r>
    </w:p>
    <w:p w14:paraId="1C576D6B" w14:textId="5606A071" w:rsidR="002F6043" w:rsidRDefault="002F6043" w:rsidP="002F6043"/>
    <w:p w14:paraId="4C3B5F5F" w14:textId="1346AD81" w:rsidR="00E86144" w:rsidRDefault="006036AA" w:rsidP="00E86144">
      <w:pPr>
        <w:ind w:firstLine="720"/>
        <w:rPr>
          <w:rFonts w:cs="Arial"/>
        </w:rPr>
      </w:pPr>
      <w:r w:rsidRPr="00AF4CFC">
        <w:rPr>
          <w:rFonts w:cs="Arial"/>
        </w:rPr>
        <w:t>A ancoragem da experiência social dentro de um "espaço-tempo interno" levanta a questão fundamental de qual mecanismo neural é responsável por essa indexação. Se a memória social é, em sua essência, uma forma de memória episódica, então ela deve, por definição, depender da estrutura cerebral primária responsável pela codificação contextual. O hipocampo, neste cenário, assume o papel central</w:t>
      </w:r>
      <w:r w:rsidR="000B63E8" w:rsidRPr="00AF4CFC">
        <w:rPr>
          <w:rFonts w:cs="Arial"/>
        </w:rPr>
        <w:t>;</w:t>
      </w:r>
      <w:r w:rsidRPr="00AF4CFC">
        <w:rPr>
          <w:rFonts w:cs="Arial"/>
        </w:rPr>
        <w:t xml:space="preserve"> Embora classicamente associado à formação de "mapas cognitivos" para navegação espacial, a literatura contemporânea expandiu essa função, propondo que o hipocampo atua como um sistema geral de processamento de contexto </w:t>
      </w:r>
      <w:r w:rsidR="000B63E8" w:rsidRPr="00AF4CFC">
        <w:rPr>
          <w:rFonts w:cs="Arial"/>
        </w:rPr>
        <w:fldChar w:fldCharType="begin"/>
      </w:r>
      <w:r w:rsidR="007F237D">
        <w:rPr>
          <w:rFonts w:cs="Arial"/>
        </w:rPr>
        <w:instrText xml:space="preserve"> ADDIN ZOTERO_ITEM CSL_CITATION {"citationID":"2vm4eKzL","properties":{"formattedCitation":"(Smith &amp; Mizumori, 2006)","plainCitation":"(Smith &amp; Mizumori, 2006)","noteIndex":0},"citationItems":[{"id":3630,"uris":["http://zotero.org/users/7052761/items/RCRDK3QB"],"itemData":{"id":3630,"type":"article-journal","abstract":"Abstract\n            Although most observers agree that the hippocampus has a critical role in learning and memory, there remains considerable debate about the precise functional contribution of the hippocampus to these processes. Two of the most influential accounts hold that the primary function of the hippocampus is to generate cognitive maps and to mediate episodic memory processes. The well</w:instrText>
      </w:r>
      <w:r w:rsidR="007F237D">
        <w:rPr>
          <w:rFonts w:ascii="Cambria Math" w:hAnsi="Cambria Math" w:cs="Cambria Math"/>
        </w:rPr>
        <w:instrText>‐</w:instrText>
      </w:r>
      <w:r w:rsidR="007F237D">
        <w:rPr>
          <w:rFonts w:cs="Arial"/>
        </w:rPr>
        <w:instrText>documented spatial firing patterns (place fields) of hippocampal neurons in rodents, along with the spatial learning impairments observed with hippocampal damage support the cognitive mapping hypothesis. The amnesia for personally experienced events seen in humans with hippocampal damage and the data of animal models, which show severe memory deficits associated with hippocampal lesions, support the episodic memory account. Although an extensive literature supports each of these hypotheses, a specific contribution of place cells to episodic memory has not been clearly demonstrated. Recent data from our laboratory, together with previous findings, indicate that hippocampal place fields and neuronal responses to task</w:instrText>
      </w:r>
      <w:r w:rsidR="007F237D">
        <w:rPr>
          <w:rFonts w:ascii="Cambria Math" w:hAnsi="Cambria Math" w:cs="Cambria Math"/>
        </w:rPr>
        <w:instrText>‐</w:instrText>
      </w:r>
      <w:r w:rsidR="007F237D">
        <w:rPr>
          <w:rFonts w:cs="Arial"/>
        </w:rPr>
        <w:instrText>relevant stimuli are highly sensitive to the context, even when the contexts are defined by abstract task demands rather than the spatial geometry of the environment. On the basis of these findings, it is proposed that place fields reflect a more general context processing function of the hippocampus. Hippocampal context representations could serve to differentiate contexts and prime the relevant memories and behaviors. Since episodic memories, by definition, include information about the time and place where the episode occurred, contextual information is a necessary prerequisite for any episodic memory. Thus, place fields contribute importantly to episodic memory as part of the needed context representations. Additionally, recent findings indicate that hippocampal neurons differentiate contexts at progressively finer levels of detail, suggesting a hierarchical coding scheme which, if combined with temporal information, could provide a means of differentiating memory episodes. © 2006 Wiley</w:instrText>
      </w:r>
      <w:r w:rsidR="007F237D">
        <w:rPr>
          <w:rFonts w:ascii="Cambria Math" w:hAnsi="Cambria Math" w:cs="Cambria Math"/>
        </w:rPr>
        <w:instrText>‐</w:instrText>
      </w:r>
      <w:r w:rsidR="007F237D">
        <w:rPr>
          <w:rFonts w:cs="Arial"/>
        </w:rPr>
        <w:instrText xml:space="preserve">Liss, Inc.","container-title":"Hippocampus","DOI":"10.1002/hipo.20208","ISSN":"1050-9631, 1098-1063","issue":"9","journalAbbreviation":"Hippocampus","language":"en","license":"http://onlinelibrary.wiley.com/termsAndConditions#vor","page":"716-729","source":"DOI.org (Crossref)","title":"Hippocampal place cells, context, and episodic memory","volume":"16","author":[{"family":"Smith","given":"David M."},{"family":"Mizumori","given":"Sheri J.Y."}],"issued":{"date-parts":[["2006",9]]}}}],"schema":"https://github.com/citation-style-language/schema/raw/master/csl-citation.json"} </w:instrText>
      </w:r>
      <w:r w:rsidR="000B63E8" w:rsidRPr="00AF4CFC">
        <w:rPr>
          <w:rFonts w:cs="Arial"/>
        </w:rPr>
        <w:fldChar w:fldCharType="separate"/>
      </w:r>
      <w:r w:rsidR="007F237D" w:rsidRPr="007F237D">
        <w:rPr>
          <w:rFonts w:cs="Arial"/>
        </w:rPr>
        <w:t>(Smith &amp; Mizumori, 2006)</w:t>
      </w:r>
      <w:r w:rsidR="000B63E8" w:rsidRPr="00AF4CFC">
        <w:rPr>
          <w:rFonts w:cs="Arial"/>
        </w:rPr>
        <w:fldChar w:fldCharType="end"/>
      </w:r>
      <w:r w:rsidR="000B63E8" w:rsidRPr="00AF4CFC">
        <w:rPr>
          <w:rFonts w:cs="Arial"/>
        </w:rPr>
        <w:t xml:space="preserve">. </w:t>
      </w:r>
      <w:r w:rsidRPr="00AF4CFC">
        <w:rPr>
          <w:rFonts w:cs="Arial"/>
        </w:rPr>
        <w:t>Ele é o "bibliotecário" que organiza e cataloga as memórias episódicas, permitindo não apenas a recordação de um evento, mas também a distinção precisa entre eventos semelhantes.</w:t>
      </w:r>
    </w:p>
    <w:p w14:paraId="2CA6014E" w14:textId="5CD8D584" w:rsidR="00E86144" w:rsidRPr="00E86144" w:rsidRDefault="00E86144" w:rsidP="00E86144">
      <w:pPr>
        <w:ind w:firstLine="720"/>
        <w:rPr>
          <w:rFonts w:cs="Arial"/>
        </w:rPr>
      </w:pPr>
      <w:r w:rsidRPr="00E86144">
        <w:rPr>
          <w:rFonts w:cs="Arial"/>
        </w:rPr>
        <w:lastRenderedPageBreak/>
        <w:t xml:space="preserve">Essa expansão funcional reflete uma complexa organização neuroanatômica ao longo do eixo longitudinal e também transversal do hipocampo. A formação hipocampal possui uma arquitetura bem definida que se conecta ao longo de sua anatomia, composta pelo hipocampo (CA1, CA2, CA3), o giro denteado e o complexo subicular </w:t>
      </w:r>
      <w:r w:rsidR="007F237D">
        <w:rPr>
          <w:rFonts w:cs="Arial"/>
        </w:rPr>
        <w:fldChar w:fldCharType="begin"/>
      </w:r>
      <w:r w:rsidR="007F237D">
        <w:rPr>
          <w:rFonts w:cs="Arial"/>
        </w:rPr>
        <w:instrText xml:space="preserve"> ADDIN ZOTERO_ITEM CSL_CITATION {"citationID":"RyNa4ofe","properties":{"formattedCitation":"(Dudai, 2002; {\\i{}The Hippocampus Book}, 2007)","plainCitation":"(Dudai, 2002; The Hippocampus Book, 2007)","noteIndex":0},"citationItems":[{"id":3594,"uris":["http://zotero.org/users/7052761/items/GBX3B3DA"],"itemData":{"id":3594,"type":"book","abstract":"\"This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id":3680,"uris":["http://zotero.org/users/7052761/items/XZ5EELIW"],"itemData":{"id":3680,"type":"book","call-number":"612.825","event-place":"Oxford","ISBN":"978-0-19-510027-3","language":"eng","publisher":"Oxford University Press","publisher-place":"Oxford","source":"BnF ISBN","title":"The Hippocampus book","issued":{"date-parts":[["2007"]]}}}],"schema":"https://github.com/citation-style-language/schema/raw/master/csl-citation.json"} </w:instrText>
      </w:r>
      <w:r w:rsidR="007F237D">
        <w:rPr>
          <w:rFonts w:cs="Arial"/>
        </w:rPr>
        <w:fldChar w:fldCharType="separate"/>
      </w:r>
      <w:r w:rsidR="007F237D" w:rsidRPr="007F237D">
        <w:rPr>
          <w:rFonts w:cs="Arial"/>
        </w:rPr>
        <w:t xml:space="preserve">(Dudai, 2002; </w:t>
      </w:r>
      <w:r w:rsidR="007F237D" w:rsidRPr="007F237D">
        <w:rPr>
          <w:rFonts w:cs="Arial"/>
          <w:i/>
          <w:iCs/>
        </w:rPr>
        <w:t>The Hippocampus Book</w:t>
      </w:r>
      <w:r w:rsidR="007F237D" w:rsidRPr="007F237D">
        <w:rPr>
          <w:rFonts w:cs="Arial"/>
        </w:rPr>
        <w:t>, 2007)</w:t>
      </w:r>
      <w:r w:rsidR="007F237D">
        <w:rPr>
          <w:rFonts w:cs="Arial"/>
        </w:rPr>
        <w:fldChar w:fldCharType="end"/>
      </w:r>
      <w:r w:rsidR="007F237D">
        <w:rPr>
          <w:rFonts w:cs="Arial"/>
        </w:rPr>
        <w:t xml:space="preserve">. </w:t>
      </w:r>
      <w:r w:rsidRPr="00E86144">
        <w:rPr>
          <w:rFonts w:cs="Arial"/>
        </w:rPr>
        <w:t>Adicionalmente, o hipocampo é circundado por um</w:t>
      </w:r>
      <w:r>
        <w:rPr>
          <w:rFonts w:cs="Arial"/>
        </w:rPr>
        <w:t>a</w:t>
      </w:r>
      <w:r w:rsidRPr="00E86144">
        <w:rPr>
          <w:rFonts w:cs="Arial"/>
        </w:rPr>
        <w:t xml:space="preserve"> rede de estruturas corticais e subcorticais, sendo o córtex entorrinal a principal forma por onde ocorre o fluxo de informações para o hipocampo através da via perforante </w:t>
      </w:r>
      <w:r w:rsidR="007F237D">
        <w:rPr>
          <w:rFonts w:cs="Arial"/>
        </w:rPr>
        <w:fldChar w:fldCharType="begin"/>
      </w:r>
      <w:r w:rsidR="007F237D">
        <w:rPr>
          <w:rFonts w:cs="Arial"/>
        </w:rPr>
        <w:instrText xml:space="preserve"> ADDIN ZOTERO_ITEM CSL_CITATION {"citationID":"sYnrygh2","properties":{"formattedCitation":"(Dudai, 2002)","plainCitation":"(Dudai, 2002)","noteIndex":0},"citationItems":[{"id":3594,"uris":["http://zotero.org/users/7052761/items/GBX3B3DA"],"itemData":{"id":3594,"type":"book","abstract":"\"This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Z","editor":[{"family":"Dudai","given":"Yadin"}],"issued":{"date-parts":[["2002"]]}}}],"schema":"https://github.com/citation-style-language/schema/raw/master/csl-citation.json"} </w:instrText>
      </w:r>
      <w:r w:rsidR="007F237D">
        <w:rPr>
          <w:rFonts w:cs="Arial"/>
        </w:rPr>
        <w:fldChar w:fldCharType="separate"/>
      </w:r>
      <w:r w:rsidR="007F237D" w:rsidRPr="007F237D">
        <w:rPr>
          <w:rFonts w:cs="Arial"/>
        </w:rPr>
        <w:t>(Dudai, 2002)</w:t>
      </w:r>
      <w:r w:rsidR="007F237D">
        <w:rPr>
          <w:rFonts w:cs="Arial"/>
        </w:rPr>
        <w:fldChar w:fldCharType="end"/>
      </w:r>
      <w:r w:rsidR="007F237D">
        <w:rPr>
          <w:rFonts w:cs="Arial"/>
        </w:rPr>
        <w:t xml:space="preserve">. </w:t>
      </w:r>
      <w:r w:rsidRPr="00E86144">
        <w:rPr>
          <w:rFonts w:cs="Arial"/>
        </w:rPr>
        <w:t>Dentro dessa organização estrutural temos a circuitaria integrada do hipocampo denominada classicamente como via trissináptica é caracterizada por projeções vindas do córtex entorrinal para o giro denteado através da via perforante, seguindo para CA3 por meio das fibras musgosas e de CA3 para CA1 através do colateral de Schaffer.</w:t>
      </w:r>
    </w:p>
    <w:p w14:paraId="3062BAF3" w14:textId="46D2C506" w:rsidR="00E86144" w:rsidRPr="00AF4CFC" w:rsidRDefault="00E86144" w:rsidP="00E86144">
      <w:pPr>
        <w:ind w:firstLine="720"/>
        <w:rPr>
          <w:rFonts w:cs="Arial"/>
        </w:rPr>
      </w:pPr>
      <w:r w:rsidRPr="00E86144">
        <w:rPr>
          <w:rFonts w:cs="Arial"/>
        </w:rPr>
        <w:t>Além disso, o hipocampo é segmentado ao longo do seu eixo rostro-caudal em regiões dorsal e ventral</w:t>
      </w:r>
      <w:r w:rsidR="007014F4">
        <w:rPr>
          <w:rFonts w:cs="Arial"/>
        </w:rPr>
        <w:t>,</w:t>
      </w:r>
      <w:r w:rsidRPr="00E86144">
        <w:rPr>
          <w:rFonts w:cs="Arial"/>
        </w:rPr>
        <w:t xml:space="preserve"> cada uma com diferentes conexões aferentes e eferentes que refletem suas distintas funções. O </w:t>
      </w:r>
      <w:r w:rsidR="007014F4">
        <w:rPr>
          <w:rFonts w:cs="Arial"/>
        </w:rPr>
        <w:t>hipocampo dorsal</w:t>
      </w:r>
      <w:r w:rsidRPr="00E86144">
        <w:rPr>
          <w:rFonts w:cs="Arial"/>
        </w:rPr>
        <w:t xml:space="preserve"> </w:t>
      </w:r>
      <w:r w:rsidR="007014F4">
        <w:rPr>
          <w:rFonts w:cs="Arial"/>
        </w:rPr>
        <w:t xml:space="preserve">é </w:t>
      </w:r>
      <w:r w:rsidRPr="00E86144">
        <w:rPr>
          <w:rFonts w:cs="Arial"/>
        </w:rPr>
        <w:t xml:space="preserve">mais </w:t>
      </w:r>
      <w:r w:rsidR="007014F4">
        <w:rPr>
          <w:rFonts w:cs="Arial"/>
        </w:rPr>
        <w:t xml:space="preserve">citado quando </w:t>
      </w:r>
      <w:r w:rsidRPr="00E86144">
        <w:rPr>
          <w:rFonts w:cs="Arial"/>
        </w:rPr>
        <w:t xml:space="preserve">associado ao processamento cognitivo, enquanto </w:t>
      </w:r>
      <w:r w:rsidR="007014F4">
        <w:rPr>
          <w:rFonts w:cs="Arial"/>
        </w:rPr>
        <w:t xml:space="preserve">a porção ventral é dita como tendo </w:t>
      </w:r>
      <w:r w:rsidRPr="00E86144">
        <w:rPr>
          <w:rFonts w:cs="Arial"/>
        </w:rPr>
        <w:t>envolvi</w:t>
      </w:r>
      <w:r w:rsidR="007014F4">
        <w:rPr>
          <w:rFonts w:cs="Arial"/>
        </w:rPr>
        <w:t xml:space="preserve">mento </w:t>
      </w:r>
      <w:r w:rsidRPr="00E86144">
        <w:rPr>
          <w:rFonts w:cs="Arial"/>
        </w:rPr>
        <w:t xml:space="preserve">na resposta ao estresse e no processamento emocional </w:t>
      </w:r>
      <w:r w:rsidR="007F237D">
        <w:rPr>
          <w:rFonts w:cs="Arial"/>
        </w:rPr>
        <w:fldChar w:fldCharType="begin"/>
      </w:r>
      <w:r w:rsidR="007F237D">
        <w:rPr>
          <w:rFonts w:cs="Arial"/>
        </w:rPr>
        <w:instrText xml:space="preserve"> ADDIN ZOTERO_ITEM CSL_CITATION {"citationID":"1MhKhFtF","properties":{"formattedCitation":"(Fanselow &amp; Dong, 2010; Knierim, 2015)","plainCitation":"(Fanselow &amp; Dong, 2010; Knierim, 2015)","noteIndex":0},"citationItems":[{"id":3672,"uris":["http://zotero.org/users/7052761/items/NT55D2WB"],"itemData":{"id":3672,"type":"article-journal","abstract":"One literature treats the hippocampus as a purely cognitive structure involved in memory; another treats it as a regulator of emotion whose dysfunction leads to psychopathology. We review behavioral, anatomical, and gene expression studies that together support a functional segmentation into three hippocampal compartments: dorsal, intermediate, and ventral. The dorsal hippocampus, which corresponds to the posterior hippocampus in primates, performs primarily cognitive functions. The ventral (anterior in primates) relates to stress, emotion, and affect. Strikingly, gene expression in the dorsal hippocampus correlates with cortical regions involved in information processing, while genes expressed in the ventral hippocampus correlate with regions involved in emotion and stress (amygdala and hypothalamus).","container-title":"Neuron","DOI":"10.1016/j.neuron.2009.11.031","ISSN":"0896-6273","issue":"1","journalAbbreviation":"Neuron","page":"7-19","source":"ScienceDirect","title":"Are the Dorsal and Ventral Hippocampus Functionally Distinct Structures?","volume":"65","author":[{"family":"Fanselow","given":"Michael S."},{"family":"Dong","given":"Hong-Wei"}],"issued":{"date-parts":[["2010",1,14]]}}},{"id":3681,"uris":["http://zotero.org/users/7052761/items/C5CSBGLY"],"itemData":{"id":3681,"type":"article-journal","abstract":"The hippocampus is one of the most thoroughly investigated structures in the brain. Ever since the 1957 report of the case study H.M., who famously lost the ability to form new, declarative memories after surgical removal of the hippocampus and nearby temporal lobe structures to treat intractable epilepsy, the hippocampus has been at the forefront of research into the neurobiological bases of memory. This research led to the discovery in the hippocampus of long-term potentiation, the pre-eminent model of the cellular basis of memory. Furthermore, the discovery of place cells, head direction cells, and grid cells in the rodent hippocampal formation established a firm foundation for the notion that the hippocampus plays a critical role in memory formation by providing the brain with a spatiotemporal framework within which the various sensory, emotional, and cognitive components of an experience are bound together. This framework allows the experience to be stored in such a way that it can be later retrieved as a conscious recollection of that experience.","container-title":"Current Biology","DOI":"10.1016/j.cub.2015.10.049","ISSN":"0960-9822","issue":"23","journalAbbreviation":"Current Biology","page":"R1116-R1121","source":"ScienceDirect","title":"The hippocampus","volume":"25","author":[{"family":"Knierim","given":"James J."}],"issued":{"date-parts":[["2015",12,7]]}}}],"schema":"https://github.com/citation-style-language/schema/raw/master/csl-citation.json"} </w:instrText>
      </w:r>
      <w:r w:rsidR="007F237D">
        <w:rPr>
          <w:rFonts w:cs="Arial"/>
        </w:rPr>
        <w:fldChar w:fldCharType="separate"/>
      </w:r>
      <w:r w:rsidR="007F237D" w:rsidRPr="007F237D">
        <w:rPr>
          <w:rFonts w:cs="Arial"/>
        </w:rPr>
        <w:t>(Fanselow &amp; Dong, 2010; Knierim, 2015)</w:t>
      </w:r>
      <w:r w:rsidR="007F237D">
        <w:rPr>
          <w:rFonts w:cs="Arial"/>
        </w:rPr>
        <w:fldChar w:fldCharType="end"/>
      </w:r>
      <w:r w:rsidR="007F237D">
        <w:rPr>
          <w:rFonts w:cs="Arial"/>
        </w:rPr>
        <w:t xml:space="preserve">. </w:t>
      </w:r>
      <w:r w:rsidRPr="00E86144">
        <w:rPr>
          <w:rFonts w:cs="Arial"/>
        </w:rPr>
        <w:t>Essa segmentação funcional sugere que diferentes partes do hipocampo podem contribuir de maneira distinta para a formação e recuperação de memórias sociais, dependendo do contexto emocional e cognitivo da experiência vivida.</w:t>
      </w:r>
    </w:p>
    <w:p w14:paraId="244E0DBB" w14:textId="68C3059E" w:rsidR="00DE7DB5" w:rsidRDefault="00DE7DB5" w:rsidP="00DE7DB5">
      <w:pPr>
        <w:ind w:firstLine="720"/>
      </w:pPr>
      <w:r>
        <w:t>A concepção clássica do hipocampo como um "mapa cognitivo" é hoje primariamente atribuída à sua porção dorsal</w:t>
      </w:r>
      <w:r w:rsidR="007014F4">
        <w:t>. Essa região,</w:t>
      </w:r>
      <w:r>
        <w:t xml:space="preserve"> em conjunto com o córtex entorrinal medial, é especializado em representações espaciais de alta resolução </w:t>
      </w:r>
      <w:r w:rsidR="008F58F3">
        <w:fldChar w:fldCharType="begin"/>
      </w:r>
      <w:r w:rsidR="008F58F3">
        <w:instrText xml:space="preserve"> ADDIN ZOTERO_ITEM CSL_CITATION {"citationID":"Y5os7HvB","properties":{"formattedCitation":"(Moser et al., 2008)","plainCitation":"(Moser et al., 2008)","noteIndex":0},"citationItems":[{"id":3684,"uris":["http://zotero.org/users/7052761/items/GK54VT4V"],"itemData":{"id":3684,"type":"article-journal","abstract":"More than three decades of research have demonstrated a role for hippocampal place cells in representation of the spatial environment in the brain. New studies have shown that place cells are part of a broader circuit for dynamic representation of self-location. A key component of this network is the entorhinal grid cells, which, by virtue of their tessellating firing fields, may provide the elements of a path integration-based neural map. Here we review how place cells and grid cells may form the basis for quantitative spatiotemporal representation of places, routes, and associated experiences during behavior and in memory. Because these cell types have some of the most conspicuous behavioral correlates among neurons in nonsensory cortical systems, and because their spatial firing structure reflects computations internally in the system, studies of entorhinal-hippocampal representations may offer considerable insight into general principles of cortical network dynamics.","container-title":"Annual Review of Neuroscience","DOI":"10.1146/annurev.neuro.31.061307.090723","ISSN":"0147-006X","journalAbbreviation":"Annu Rev Neurosci","language":"eng","note":"PMID: 18284371","page":"69-89","source":"PubMed","title":"Place cells, grid cells, and the brain's spatial representation system","volume":"31","author":[{"family":"Moser","given":"Edvard I."},{"family":"Kropff","given":"Emilio"},{"family":"Moser","given":"May-Britt"}],"issued":{"date-parts":[["2008"]]}}}],"schema":"https://github.com/citation-style-language/schema/raw/master/csl-citation.json"} </w:instrText>
      </w:r>
      <w:r w:rsidR="008F58F3">
        <w:fldChar w:fldCharType="separate"/>
      </w:r>
      <w:r w:rsidR="008F58F3" w:rsidRPr="008F58F3">
        <w:rPr>
          <w:rFonts w:cs="Arial"/>
        </w:rPr>
        <w:t>(Moser et al., 2008)</w:t>
      </w:r>
      <w:r w:rsidR="008F58F3">
        <w:fldChar w:fldCharType="end"/>
      </w:r>
      <w:r>
        <w:t>. Ele opera como um sistema de navegação "métrico", computando distâncias, direções e integrando o movimento do indivíduo para localizar-se precisamente no ambiente. Esta é a base neural do "onde" em seu sentido físico mais fundamental.</w:t>
      </w:r>
    </w:p>
    <w:p w14:paraId="684D94B7" w14:textId="21D6C6D3" w:rsidR="00DE7DB5" w:rsidRPr="007014F4" w:rsidRDefault="00DE7DB5" w:rsidP="007014F4">
      <w:pPr>
        <w:ind w:firstLine="720"/>
        <w:rPr>
          <w:highlight w:val="yellow"/>
        </w:rPr>
      </w:pPr>
      <w:r>
        <w:t xml:space="preserve">Em contrapartida, o hipocampo ventral opera de forma distinta. Embora mantenha alguma codificação espacial, ela é de resolução mais baixa e está profundamente integrada ao processamento do significado ou valor do contexto </w:t>
      </w:r>
      <w:r w:rsidR="008F58F3" w:rsidRPr="00E86144">
        <w:rPr>
          <w:rFonts w:cs="Arial"/>
        </w:rPr>
        <w:t xml:space="preserve">emocional </w:t>
      </w:r>
      <w:r w:rsidR="008F58F3">
        <w:rPr>
          <w:rFonts w:cs="Arial"/>
        </w:rPr>
        <w:fldChar w:fldCharType="begin"/>
      </w:r>
      <w:r w:rsidR="007014F4">
        <w:rPr>
          <w:rFonts w:cs="Arial"/>
        </w:rPr>
        <w:instrText xml:space="preserve"> ADDIN ZOTERO_ITEM CSL_CITATION {"citationID":"cjShfjEC","properties":{"formattedCitation":"(Fanselow &amp; Dong, 2010; Knierim, 2015)","plainCitation":"(Fanselow &amp; Dong, 2010; Knierim, 2015)","noteIndex":0},"citationItems":[{"id":3672,"uris":["http://zotero.org/users/7052761/items/NT55D2WB"],"itemData":{"id":3672,"type":"article-journal","abstract":"One literature treats the hippocampus as a purely cognitive structure involved in memory; another treats it as a regulator of emotion whose dysfunction leads to psychopathology. We review behavioral, anatomical, and gene expression studies that together support a functional segmentation into three hippocampal compartments: dorsal, intermediate, and ventral. The dorsal hippocampus, which corresponds to the posterior hippocampus in primates, performs primarily cognitive functions. The ventral (anterior in primates) relates to stress, emotion, and affect. Strikingly, gene expression in the dorsal hippocampus correlates with cortical regions involved in information processing, while genes expressed in the ventral hippocampus correlate with regions involved in emotion and stress (amygdala and hypothalamus).","container-title":"Neuron","DOI":"10.1016/j.neuron.2009.11.031","ISSN":"0896-6273","issue":"1","journalAbbreviation":"Neuron","page":"7-19","source":"ScienceDirect","title":"Are the Dorsal and Ventral Hippocampus Functionally Distinct Structures?","volume":"65","author":[{"family":"Fanselow","given":"Michael S."},{"family":"Dong","given":"Hong-Wei"}],"issued":{"date-parts":[["2010",1,14]]}}},{"id":3681,"uris":["http://zotero.org/users/7052761/items/C5CSBGLY"],"itemData":{"id":3681,"type":"article-journal","abstract":"The hippocampus is one of the most thoroughly investigated structures in the brain. Ever since the 1957 report of the case study H.M., who famously lost the ability to form new, declarative memories after surgical removal of the hippocampus and nearby temporal lobe structures to treat intractable epilepsy, the hippocampus has been at the forefront of research into the neurobiological bases of memory. This research led to the discovery in the hippocampus of long-term potentiation, the pre-eminent model of the cellular basis of memory. Furthermore, the discovery of place cells, head direction cells, and grid cells in the rodent hippocampal formation established a firm foundation for the notion that the hippocampus plays a critical role in memory formation by providing the brain with a spatiotemporal framework within which the various sensory, emotional, and cognitive components of an experience are bound together. This framework allows the experience to be stored in such a way that it can be later retrieved as a conscious recollection of that experience.","container-title":"Current Biology","DOI":"10.1016/j.cub.2015.10.049","ISSN":"0960-9822","issue":"23","journalAbbreviation":"Current Biology","page":"R1116-R1121","source":"ScienceDirect","title":"The hippocampus","volume":"25","author":[{"family":"Knierim","given":"James J."}],"issued":{"date-parts":[["2015",12,7]]}}}],"schema":"https://github.com/citation-style-language/schema/raw/master/csl-citation.json"} </w:instrText>
      </w:r>
      <w:r w:rsidR="008F58F3">
        <w:rPr>
          <w:rFonts w:cs="Arial"/>
        </w:rPr>
        <w:fldChar w:fldCharType="separate"/>
      </w:r>
      <w:r w:rsidR="007014F4" w:rsidRPr="007014F4">
        <w:rPr>
          <w:rFonts w:cs="Arial"/>
        </w:rPr>
        <w:t>(Fanselow &amp; Dong, 2010; Knierim, 2015)</w:t>
      </w:r>
      <w:r w:rsidR="008F58F3">
        <w:rPr>
          <w:rFonts w:cs="Arial"/>
        </w:rPr>
        <w:fldChar w:fldCharType="end"/>
      </w:r>
      <w:r>
        <w:t>. O</w:t>
      </w:r>
      <w:r w:rsidR="007014F4">
        <w:t xml:space="preserve"> hipocampo ventral</w:t>
      </w:r>
      <w:r>
        <w:t xml:space="preserve"> possui conexões extensas com </w:t>
      </w:r>
      <w:r>
        <w:lastRenderedPageBreak/>
        <w:t xml:space="preserve">circuitos límbicos, como a amígdala e o córtex pré-frontal medial, áreas cruciais para a avaliação de estímulos emocionais, motivacionais e afetivos. Assim, enquanto o </w:t>
      </w:r>
      <w:r w:rsidR="007014F4">
        <w:t>hipocampo dorsal</w:t>
      </w:r>
      <w:r>
        <w:t xml:space="preserve"> codifica o "mapa" físico, o </w:t>
      </w:r>
      <w:r w:rsidR="007014F4">
        <w:t>ventral</w:t>
      </w:r>
      <w:r>
        <w:t xml:space="preserve"> codifica o "valor" associado a esse mapa, determinando, por exemplo, se um local é seguro, ameaçador ou recompensador</w:t>
      </w:r>
      <w:r w:rsidR="008F58F3">
        <w:t xml:space="preserve"> </w:t>
      </w:r>
      <w:r w:rsidR="008F58F3" w:rsidRPr="008F58F3">
        <w:rPr>
          <w:highlight w:val="yellow"/>
        </w:rPr>
        <w:t>(REF?</w:t>
      </w:r>
      <w:r w:rsidR="008F58F3">
        <w:rPr>
          <w:highlight w:val="yellow"/>
        </w:rPr>
        <w:t xml:space="preserve"> Talvez não </w:t>
      </w:r>
      <w:r w:rsidR="007014F4">
        <w:rPr>
          <w:highlight w:val="yellow"/>
        </w:rPr>
        <w:t>seja a melhor forma de colocar isso</w:t>
      </w:r>
      <w:r w:rsidR="008F58F3" w:rsidRPr="008F58F3">
        <w:rPr>
          <w:highlight w:val="yellow"/>
        </w:rPr>
        <w:t>)</w:t>
      </w:r>
      <w:r w:rsidRPr="008F58F3">
        <w:rPr>
          <w:highlight w:val="yellow"/>
        </w:rPr>
        <w:t>.</w:t>
      </w:r>
    </w:p>
    <w:p w14:paraId="0E1751C1" w14:textId="772ACDA5" w:rsidR="00DE7DB5" w:rsidRDefault="00DE7DB5" w:rsidP="00AF4CFC">
      <w:pPr>
        <w:ind w:firstLine="720"/>
      </w:pPr>
      <w:r>
        <w:t xml:space="preserve">É precisamente essa função do hipocampo ventral que o posiciona como um substrato neural crítico para a memória social. A memória social exige mais do que saber onde um encontro ocorreu; ela exige a codificação de quem foi encontrado e qual o valor dessa interação (ex: familiar vs. novo, dominante vs. submisso). Estudos seminais, como os de Okuyama e </w:t>
      </w:r>
      <w:r w:rsidR="002579F7">
        <w:t>colaboradores</w:t>
      </w:r>
      <w:r>
        <w:t xml:space="preserve"> (2016), demonstraram que neurônios específicos n</w:t>
      </w:r>
      <w:r w:rsidR="007014F4">
        <w:t>a região ventral do hipocampo</w:t>
      </w:r>
      <w:r>
        <w:t xml:space="preserve"> são essenciais para o armazenamento e a recuperação da memória de reconhecimento social. A inativação dessas células impede o reconhecimento de um co-específico familiar, sem, no entanto, prejudicar a memória espacial para locais.</w:t>
      </w:r>
    </w:p>
    <w:p w14:paraId="0336AF1C" w14:textId="2A93AECB" w:rsidR="00DE7DB5" w:rsidRDefault="00DE7DB5" w:rsidP="00AF4CFC">
      <w:pPr>
        <w:ind w:firstLine="720"/>
      </w:pPr>
      <w:r>
        <w:t xml:space="preserve">Portanto, a visão contemporânea do hipocampo como um sistema geral de processamento contextual </w:t>
      </w:r>
      <w:r w:rsidR="007014F4">
        <w:fldChar w:fldCharType="begin"/>
      </w:r>
      <w:r w:rsidR="007014F4">
        <w:instrText xml:space="preserve"> ADDIN ZOTERO_ITEM CSL_CITATION {"citationID":"py0MyTB5","properties":{"formattedCitation":"(Eichenbaum, 2017; Smith &amp; Mizumori, 2006)","plainCitation":"(Eichenbaum, 2017; Smith &amp; Mizumori, 2006)","noteIndex":0},"citationItems":[{"id":3617,"uris":["http://zotero.org/users/7052761/items/BR3ZGM62"],"itemData":{"id":3617,"type":"article-journal","abstract":"There is considerable recent evidence that, in addition to its representation of space, the hippocampus also represents the temporal organization of memories. Time plays a central role in episodic memory, and studies have identified the hippocampus as playing an essential role in the temporal organization of memories in humans and animals. Temporal organization is supported by a gradually changing temporal context signal in the hippocampus, and this changing context signal involves ‘time cells’ in the hippocampus that code sequential moments in temporally organized experiences. Finally, hippocampal temporal context representations involve mechanisms in intrinsic circuitry and oscillatory patterns throughout hippocampal subfields and depend on inputs from parahippocampal cortical areas as well as a widespread temporal processing system in the neocortex.","collection-title":"Memory in time and space","container-title":"Current Opinion in Behavioral Sciences","DOI":"10.1016/j.cobeha.2017.06.010","ISSN":"23521546","journalAbbreviation":"Current Opinion in Behavioral Sciences","language":"en","page":"65-70","source":"DOI.org (Crossref)","title":"Time (and space) in the hippocampus","volume":"17","author":[{"family":"Eichenbaum","given":"Howard"}],"issued":{"date-parts":[["2017",10]]}}},{"id":3630,"uris":["http://zotero.org/users/7052761/items/RCRDK3QB"],"itemData":{"id":3630,"type":"article-journal","abstract":"Abstract\n            Although most observers agree that the hippocampus has a critical role in learning and memory, there remains considerable debate about the precise functional contribution of the hippocampus to these processes. Two of the most influential accounts hold that the primary function of the hippocampus is to generate cognitive maps and to mediate episodic memory processes. The well</w:instrText>
      </w:r>
      <w:r w:rsidR="007014F4">
        <w:rPr>
          <w:rFonts w:ascii="Cambria Math" w:hAnsi="Cambria Math" w:cs="Cambria Math"/>
        </w:rPr>
        <w:instrText>‐</w:instrText>
      </w:r>
      <w:r w:rsidR="007014F4">
        <w:instrText>documented spatial firing patterns (place fields) of hippocampal neurons in rodents, along with the spatial learning impairments observed with hippocampal damage support the cognitive mapping hypothesis. The amnesia for personally experienced events seen in humans with hippocampal damage and the data of animal models, which show severe memory deficits associated with hippocampal lesions, support the episodic memory account. Although an extensive literature supports each of these hypotheses, a specific contribution of place cells to episodic memory has not been clearly demonstrated. Recent data from our laboratory, together with previous findings, indicate that hippocampal place fields and neuronal responses to task</w:instrText>
      </w:r>
      <w:r w:rsidR="007014F4">
        <w:rPr>
          <w:rFonts w:ascii="Cambria Math" w:hAnsi="Cambria Math" w:cs="Cambria Math"/>
        </w:rPr>
        <w:instrText>‐</w:instrText>
      </w:r>
      <w:r w:rsidR="007014F4">
        <w:instrText>relevant stimuli are highly sensitive to the context, even when the contexts are defined by abstract task demands rather than the spatial geometry of the environment. On the basis of these findings, it is proposed that place fields reflect a more general context processing function of the hippocampus. Hippocampal context representations could serve to differentiate contexts and prime the relevant memories and behaviors. Since episodic memories, by definition, include information about the time and place where the episode occurred, contextual information is a necessary prerequisite for any episodic memory. Thus, place fields contribute importantly to episodic memory as part of the needed context representations. Additionally, recent findings indicate that hippocampal neurons differentiate contexts at progressively finer levels of detail, suggesting a hierarchical coding scheme which, if combined with temporal information, could provide a means of differentiating memory episodes. © 2006 Wiley</w:instrText>
      </w:r>
      <w:r w:rsidR="007014F4">
        <w:rPr>
          <w:rFonts w:ascii="Cambria Math" w:hAnsi="Cambria Math" w:cs="Cambria Math"/>
        </w:rPr>
        <w:instrText>‐</w:instrText>
      </w:r>
      <w:r w:rsidR="007014F4">
        <w:instrText xml:space="preserve">Liss, Inc.","container-title":"Hippocampus","DOI":"10.1002/hipo.20208","ISSN":"1050-9631, 1098-1063","issue":"9","journalAbbreviation":"Hippocampus","language":"en","license":"http://onlinelibrary.wiley.com/termsAndConditions#vor","page":"716-729","source":"DOI.org (Crossref)","title":"Hippocampal place cells, context, and episodic memory","volume":"16","author":[{"family":"Smith","given":"David M."},{"family":"Mizumori","given":"Sheri J.Y."}],"issued":{"date-parts":[["2006",9]]}}}],"schema":"https://github.com/citation-style-language/schema/raw/master/csl-citation.json"} </w:instrText>
      </w:r>
      <w:r w:rsidR="007014F4">
        <w:fldChar w:fldCharType="separate"/>
      </w:r>
      <w:r w:rsidR="007014F4" w:rsidRPr="007014F4">
        <w:rPr>
          <w:rFonts w:cs="Arial"/>
        </w:rPr>
        <w:t>(Eichenbaum, 2017; Smith &amp; Mizumori, 2006)</w:t>
      </w:r>
      <w:r w:rsidR="007014F4">
        <w:fldChar w:fldCharType="end"/>
      </w:r>
      <w:r w:rsidR="007014F4">
        <w:t xml:space="preserve"> </w:t>
      </w:r>
      <w:r>
        <w:t>acomoda essa dissociação funcional. O hipocampo atua como um "bibliotecário" neural que organiza e indexa as memórias episódicas em duas frentes: o hipocampo dorsal fornece o "mapa" espacial (o onde físico), enquanto o hipocampo ventral anexa o "significado" social e afetivo a esse mapa (o quem e o porquê da experiência). Essa integração é o que permite a distinção precisa entre eventos semelhantes e a expressão de comportamentos sociais adaptativos dependentes de contexto.</w:t>
      </w:r>
    </w:p>
    <w:p w14:paraId="100E47A9" w14:textId="0F8EA77C" w:rsidR="006036AA" w:rsidRDefault="006036AA" w:rsidP="000B63E8">
      <w:pPr>
        <w:ind w:firstLine="720"/>
      </w:pPr>
      <w:r>
        <w:t xml:space="preserve">Crucialmente, esse "contexto" não se limita a pistas ambientais estáticas. Investigações recentes demonstram que o hipocampo, especialmente em sua porção ventral, é fundamental para codificar o contexto social </w:t>
      </w:r>
      <w:r w:rsidR="000B63E8">
        <w:fldChar w:fldCharType="begin"/>
      </w:r>
      <w:r w:rsidR="000B63E8">
        <w:instrText xml:space="preserve"> ADDIN ZOTERO_ITEM CSL_CITATION {"citationID":"Te876NFw","properties":{"formattedCitation":"(Wu et al., 2023)","plainCitation":"(Wu et al., 2023)","noteIndex":0},"citationItems":[{"id":3627,"uris":["http://zotero.org/users/7052761/items/9ZAD5SXI"],"itemData":{"id":3627,"type":"article-journal","abstract":"The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0B63E8">
        <w:fldChar w:fldCharType="separate"/>
      </w:r>
      <w:r w:rsidR="007F237D" w:rsidRPr="007F237D">
        <w:rPr>
          <w:rFonts w:cs="Arial"/>
        </w:rPr>
        <w:t>(Wu et al., 2023)</w:t>
      </w:r>
      <w:r w:rsidR="000B63E8">
        <w:fldChar w:fldCharType="end"/>
      </w:r>
      <w:r>
        <w:t xml:space="preserve">. Esta estrutura não apenas mapeia o espaço físico, mas codifica a conjunção complexa de informações: o </w:t>
      </w:r>
      <w:r w:rsidR="008C4F82">
        <w:t>conspecífico</w:t>
      </w:r>
      <w:r>
        <w:t xml:space="preserve"> (quem), sua localização (onde) e o ambiente em que a interação ocorre </w:t>
      </w:r>
      <w:r w:rsidR="000B63E8">
        <w:fldChar w:fldCharType="begin"/>
      </w:r>
      <w:r w:rsidR="00424DA9">
        <w:instrText xml:space="preserve"> ADDIN ZOTERO_ITEM CSL_CITATION {"citationID":"u0XbWIUJ","properties":{"formattedCitation":"(Wu et al., 2023)","plainCitation":"(Wu et al., 2023)","noteIndex":0},"citationItems":[{"id":3627,"uris":["http://zotero.org/users/7052761/items/9ZAD5SXI"],"itemData":{"id":3627,"type":"article-journal","abstract":"The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0B63E8">
        <w:fldChar w:fldCharType="separate"/>
      </w:r>
      <w:r w:rsidR="007F237D" w:rsidRPr="007F237D">
        <w:rPr>
          <w:rFonts w:cs="Arial"/>
        </w:rPr>
        <w:t>(Wu et al., 2023)</w:t>
      </w:r>
      <w:r w:rsidR="000B63E8">
        <w:fldChar w:fldCharType="end"/>
      </w:r>
      <w:r w:rsidR="000B63E8">
        <w:t xml:space="preserve">. </w:t>
      </w:r>
      <w:r>
        <w:t>A memória social, portanto, não é uma entidade única, mas sim uma memória dependente de contexto.</w:t>
      </w:r>
    </w:p>
    <w:p w14:paraId="4DB6A940" w14:textId="055B10B3" w:rsidR="006036AA" w:rsidRDefault="006036AA" w:rsidP="006036AA">
      <w:pPr>
        <w:ind w:firstLine="720"/>
      </w:pPr>
      <w:r>
        <w:t>Fica evidente, portanto, que a memória social é um processo dinâmico, dependente da integridade do hipocampo para indexar quem é familiar em qual contexto</w:t>
      </w:r>
      <w:r w:rsidR="00424DA9">
        <w:t xml:space="preserve">. </w:t>
      </w:r>
      <w:r>
        <w:lastRenderedPageBreak/>
        <w:t>A avaliação desse fenômeno, que reside na intersecção da cognição espacial e da interação social, exige métodos de análise comportamental que possuam a precisão necessária para capturar essas nuances.</w:t>
      </w:r>
    </w:p>
    <w:p w14:paraId="6A6EC4E8" w14:textId="77777777" w:rsidR="000B63E8" w:rsidRPr="002F6043" w:rsidRDefault="000B63E8" w:rsidP="006036AA"/>
    <w:p w14:paraId="61F02C58" w14:textId="3FD9A323" w:rsidR="002F6043" w:rsidRDefault="008D187E" w:rsidP="00351C49">
      <w:pPr>
        <w:pStyle w:val="Heading2"/>
      </w:pPr>
      <w:r>
        <w:rPr>
          <w:caps w:val="0"/>
        </w:rPr>
        <w:t>FERRAMENTAS DE IA NA AUTOMATIZAÇÃO DA ANÁLISE COMPORTAMENTAL</w:t>
      </w:r>
    </w:p>
    <w:p w14:paraId="3A2CF211" w14:textId="694F3EEE" w:rsidR="00FA186D" w:rsidRDefault="00FA186D" w:rsidP="00FA186D"/>
    <w:p w14:paraId="1BC8D38B" w14:textId="60BDAB23" w:rsidR="00FA186D" w:rsidRDefault="00FA186D" w:rsidP="00E050AE">
      <w:pPr>
        <w:ind w:firstLine="720"/>
      </w:pPr>
      <w:r>
        <w:t xml:space="preserve">Tendo estabelecido que a memória social é um fenômeno complexo, dependente da integração hipocampal do contexto social e espacial, emerge um desafio metodológico fundamental: como medir objetivamente esse comportamento? A quantificação de interações sociais, como a investigação, é historicamente baseada na anotação manual </w:t>
      </w:r>
      <w:r>
        <w:fldChar w:fldCharType="begin"/>
      </w:r>
      <w:r>
        <w:instrText xml:space="preserve"> ADDIN ZOTERO_ITEM CSL_CITATION {"citationID":"Po0HxtEK","properties":{"formattedCitation":"(Egnor &amp; Branson, 2016)","plainCitation":"(Egnor &amp; Branson, 2016)","noteIndex":0},"citationItems":[{"id":3686,"uris":["http://zotero.org/users/7052761/items/IT2F7DM6"],"itemData":{"id":3686,"type":"article-journal","abstract":"In this review, we discuss the emerging field of computational behavioral analysis—the use of modern methods from computer science and engineering to quantitatively measure animal behavior. We discuss aspects of experiment design important to both obtaining biologically relevant behavioral data and enabling the use of machine vision and learning techniques for automation. These two goals are often in conflict. Restraining or restricting the environment of the animal can simplify automatic behavior quantification, but it can also degrade the quality or alter important aspects of behavior. To enable biologists to design experiments to obtain better behavioral measurements, and computer scientists to pinpoint fruitful directions for algorithm improvement, we review known effects of artificial manipulation of the animal on behavior. We also review machine vision and learning techniques for tracking, feature extraction, automated behavior classification, and automated behavior discovery, the assumptions they make, and the types of data they work best with.","container-title":"Annual Review of Neuroscience","DOI":"10.1146/annurev-neuro-070815-013845","ISSN":"0147-006X, 1545-4126","issue":"Volume 39, 2016","language":"en","note":"publisher: Annual Reviews","page":"217-236","source":"www.annualreviews.org","title":"Computational Analysis of Behavior","volume":"39","author":[{"family":"Egnor","given":"S. E. Roian"},{"family":"Branson","given":"Kristin"}],"issued":{"date-parts":[["2016",7,8]]}}}],"schema":"https://github.com/citation-style-language/schema/raw/master/csl-citation.json"} </w:instrText>
      </w:r>
      <w:r>
        <w:fldChar w:fldCharType="separate"/>
      </w:r>
      <w:r w:rsidRPr="00FA186D">
        <w:rPr>
          <w:rFonts w:cs="Arial"/>
        </w:rPr>
        <w:t>(Egnor &amp; Branson, 2016)</w:t>
      </w:r>
      <w:r>
        <w:fldChar w:fldCharType="end"/>
      </w:r>
      <w:r>
        <w:t>. Este método, embora validado, é extremamente laborioso, consome tempo e está sujeito à variabilidade e ao viés inter-observador. Mais importante, ele falha em capturar as métricas de alta resolução como a postura exata do animal ou a dinâmica da navegação.</w:t>
      </w:r>
    </w:p>
    <w:p w14:paraId="74123EC7" w14:textId="42EA8B48" w:rsidR="00FA186D" w:rsidRDefault="00FA186D" w:rsidP="00FA186D">
      <w:pPr>
        <w:ind w:firstLine="720"/>
      </w:pPr>
      <w:r>
        <w:t xml:space="preserve">Para adquirir dados comportamentais e destilá-los em métricas úteis que possam descrever o comportamento de maneira eficiente e acurada, o emprego de técnicas automatizadas torna-se, portanto, uma ferramenta indispensável. Dentre os paradigmas de memória social, o reconhecimento social se sobressai como um teste chave para avaliar a memória episódica em roedores </w:t>
      </w:r>
      <w:r>
        <w:fldChar w:fldCharType="begin"/>
      </w:r>
      <w:r>
        <w:instrText xml:space="preserve"> ADDIN ZOTERO_ITEM CSL_CITATION {"citationID":"0kQnUITq","properties":{"formattedCitation":"(Lunardi et al., 2021; Okuyama, 2018; Pereira-Caixeta et al., 2016, 2018; Perna et al., 2015)","plainCitation":"(Lunardi et al., 2021; Okuyama, 2018; Pereira-Caixeta et al., 2016, 2018; Perna et al., 2015)","noteIndex":0},"citationItems":[{"id":102,"uris":["http://zotero.org/users/7052761/items/DGJIS9JP"],"itemData":{"id":102,"type":"article-journal","abstract":"Social memory (SM) is a key element in social cognition and it encompasses the neural representation of conspecifics, an essential information to guide behavior in a social context. Here we evaluate classical and cutting-edge studies on neurobiology of SM, using as a guiding principle behavioral tasks performed in adult rodents. Our review highlights the relevance of the hippocampus, especially the CA2 region, as a neural substrate for SM and suggest that neural ensembles in the olfactory bulb may also encode SM traces. Compared to other hippocampus-dependent memories, much remains to be done to describe the neurobiological foundations of SM. Nonetheless, we argue that special attention should be paid to neurogenesis. Finally, we pinpoint the remaining open question on whether the hippocampal adult neurogenesis acts through pattern separation to permit the discrimination of highly similar stimuli during behavior.","container-title":"Brain Research Bulletin","DOI":"10.1016/j.brainresbull.2021.03.006","ISSN":"0361-9230","journalAbbreviation":"Brain Research Bulletin","page":"56-66","source":"ScienceDirect","title":"On the novel mechanisms for social memory and the emerging role of neurogenesis","volume":"171","author":[{"family":"Lunardi","given":"Paula"},{"family":"Mansk","given":"Lara M. Z."},{"family":"Jaimes","given":"Laura F."},{"family":"Pereira","given":"Grace S."}],"issued":{"date-parts":[["2021",6,1]]}}},{"id":3613,"uris":["http://zotero.org/users/7052761/items/WETQTZYM"],"itemData":{"id":3613,"type":"article-journal","abstract":"Social memory is one of the crucial components of episodic memories. Gregarious animals living in societies utilize social memory to exhibit the appropriate social behaviors such as aggression, avoidance, cooperative behavior, and even mating behavior. However, the neural mechanisms underlying social memory in the hippocampus remains mysterious. Here, I review some evidence from work done in rodents and primates on the brain region(s) and circuits encoding and/or retrieving social memory, as well as a storage for social memory (i.e. social memory engram neurons). Based on our recent findings that neural ensemble in ventral CA1 sub-region of the hippocampus possesses social memory engram, I would discuss the neural network for social information processing in order to encode social memory; and its evolutionary conservation between rodents and human.","collection-title":"Achievements of Japan neuroscience award winners","container-title":"Neuroscience Research","DOI":"10.1016/j.neures.2017.05.007","ISSN":"01680102","journalAbbreviation":"Neuroscience Research","language":"en","page":"17-23","source":"DOI.org (Crossref)","title":"Social memory engram in the hippocampus","volume":"129","author":[{"family":"Okuyama","given":"Teruhiro"}],"issued":{"date-parts":[["2018",4]]}}},{"id":179,"uris":["http://zotero.org/users/7052761/items/5PFT6M7J"],"itemData":{"id":179,"type":"article-journal","abstract":"Hippocampus-dependent memories, such as social recognition (SRM), are modulated by neurogenesis. However, the precise role of newborn neurons in social memory processing is still unknown. We showed previously that 1 week of enriched environment (EE) is sufficient to increase neurogenesis in the hippocampus (HIP) and the olfactory bulb (OB) of mice. Here, we tested the hypothesis that 1 week of EE would enhance SRM persistence and strength. In addition, as brain-derived neurotrophic factor (BDNF) may mediate some of the neurogenesis effects on memory, we also tested if 1 week of EE would increase BDNF expression in the HIP and OB. We also predicted that neurogenesis inhibition would block the gain of function caused by EE on both SRM and BDNF expression. We found that EE increased BDNF expression in the HIP and OB of mice; at the same time, it allowed SRM to last longer. In addition, mice on EE had their SRM unaffected by memory consolidation interferences. As we predicted, treatment with the anti-mitotic drug AraC blocked EE effects on SRM. Surprisingly, neurogenesis inhibition did not affect the BDNF expression, increased by EE. Together, our results suggest that newborn neurons improve SRM persistence through a BDNF-independent mechanism. Interestingly, this study on social memory uncovered an unexpected dissociation between the effect of adult neurogenesis and BDNF expression on memory persistence, reassuring the idea that not all neurogenesis effects on memory are BDNF-dependent.","container-title":"Molecular Neurobiology","DOI":"10.1007/s12035-016-9922-2","ISSN":"1559-1182","issue":"5","journalAbbreviation":"Mol Neurobiol","language":"en","page":"3309-3316","source":"Springer Link","title":"Neurogenesis Inhibition Prevents Enriched Environment to Prolong and Strengthen Social Recognition Memory, But Not to Increase BDNF Expression","volume":"54","author":[{"family":"Pereira-Caixeta","given":"Ana Raquel"},{"family":"Guarnieri","given":"Leonardo O."},{"family":"Pena","given":"Roberta R."},{"family":"Dias","given":"Thomáz L."},{"family":"Pereira","given":"Grace Schenatto"}],"issued":{"date-parts":[["2016",5,10]]}}},{"id":62,"uris":["http://zotero.org/users/7052761/items/YHMCKWHZ"],"itemData":{"id":62,"type":"article-journal","abstract":"Although the functional role for newborn neurons in neural circuits is still matter of investigation, there is no doubt that neurogenesis modulates learning and memory in rodents. In general, boosting neurogenesis before learning, using genetic-target tools or drugs, improves hippocampus-dependent memories. However, inhibiting neurogenesis may yield contradictory results depending on the type of memory evaluated. Here we tested the hypothesis that inhibiting constitutive neurogenesis would compromise social recognition memory (SRM). Male Swiss mice were submitted to three distinct procedures to inhibit neurogenesis: (1) intra-cerebral infusion of Cystosine-β-D-Arabinofuranoside (AraC); (2) intra-peritoneal injection of temozolomide (TMZ) and (3) cranial gamma irradiation. All three methods decreased cell proliferation and neurogenesis in the dentate gyrus of the dorsal (dDG) and ventral hippocampus (vDG), and the olfactory bulb (OB). However, the percentage inhibition diverged between methods and brain regions. Ara-C, TMZ and gamma irradiation impaired SRM, though only gamma irradiation did not cause side effects on weight gain, locomotor activity and anxiety. Finally, we examined the contribution of cell proliferation in vDG, dDG and OB to SRM. The percent of inhibition in the dDG correlates with SRM, independently of the method utilized. This correlation was observed for granular cell layer of OB and vDG, only when the inhibition was induced by gamma irradiation. Animal’s performance was restrained by the inhibition of dDG cell proliferation, suggesting that cell proliferation in the dDG has a greater contribution to SRM. Altogether, our results demonstrate that SRM, similarly to other hippocampus-dependent memories, has its formation impaired by reducing constitutive neurogenesis.","container-title":"Neurobiology of Learning and Memory","DOI":"10.1016/j.nlm.2018.06.014","ISSN":"1074-7427","journalAbbreviation":"Neurobiology of Learning and Memory","language":"en","page":"92-103","source":"ScienceDirect","title":"Inhibiting constitutive neurogenesis compromises long-term social recognition memory","volume":"155","author":[{"family":"Pereira-Caixeta","given":"Ana Raquel"},{"family":"Guarnieri","given":"Leonardo O."},{"family":"Medeiros","given":"Daniel C."},{"family":"Mendes","given":"Eduardo M.A.M."},{"family":"Ladeira","given":"Luiz C.D."},{"family":"Pereira","given":"Márcio T."},{"family":"Moraes","given":"Márcio F.D."},{"family":"Pereira","given":"Grace S."}],"issued":{"date-parts":[["2018",11]]}}},{"id":78,"uris":["http://zotero.org/users/7052761/items/XNVX6STX"],"itemData":{"id":78,"type":"article-journal","abstract":"The present study was designed to further investigate the nature of stimuli and the timing of their presentation, which can induce retroactive interference with social recognition memory in mice. In accordance with our previous observations, confrontation with an unfamiliar conspecific juvenile 3h and 6h, but not 22h, after the initial learning session resulted in retroactive interference. The same effect was observed with the exposure to both enantiomers of the monomolecular odour carvone, and with a novel object. Exposure to a loud tone (12KHz, 90dB) caused retroactive interference at 6h, but not 3h and 22h, after sampling. Our data show that retroactive interference of social recognition memory can be induced by exposing the experimental subjects to the defined stimuli presented &lt;22h after learning in their home cage. The distinct interference triggered by the tone presentation at 6h after sampling may be linked to the intrinsic aversiveness of the loud tone and suggests that at this time point memory consolidation is particularly sensitive to stress.","container-title":"Physiology &amp;amp; Behavior","DOI":"10.1016/j.physbeh.2015.02.029","ISSN":"0031-9384","journalAbbreviation":"Physiology &amp;amp; Behavior","language":"en","page":"10-14","source":"ScienceDirect","title":"Timing of presentation and nature of stimuli determine retroactive interference with social recognition memory in mice","volume":"143","author":[{"family":"Perna","given":"Judith Camats"},{"family":"Wotjak","given":"Carsten T."},{"family":"Stork","given":"Oliver"},{"family":"Engelmann","given":"Mario"}],"issued":{"date-parts":[["2015",5]]}}}],"schema":"https://github.com/citation-style-language/schema/raw/master/csl-citation.json"} </w:instrText>
      </w:r>
      <w:r>
        <w:fldChar w:fldCharType="separate"/>
      </w:r>
      <w:r w:rsidRPr="00FA186D">
        <w:rPr>
          <w:rFonts w:cs="Arial"/>
        </w:rPr>
        <w:t>(Lunardi et al., 2021; Okuyama, 2018; Pereira-Caixeta et al., 2016, 2018; Perna et al., 2015)</w:t>
      </w:r>
      <w:r>
        <w:fldChar w:fldCharType="end"/>
      </w:r>
      <w:r>
        <w:t>. Embora seja uma tarefa conceitualmente simples, sua análise apresenta desafios, especialmente na extração da métrica principal: a investigação social.</w:t>
      </w:r>
    </w:p>
    <w:p w14:paraId="30912D36" w14:textId="7CF779B6" w:rsidR="00FA186D" w:rsidRDefault="00FA186D" w:rsidP="00FA186D">
      <w:pPr>
        <w:ind w:firstLine="720"/>
      </w:pPr>
      <w:r>
        <w:t xml:space="preserve">O avanço recente nas técnicas de estimativa de pose por meio de redes neurais artificiais tornou possível a análise detalhada e objetiva do comportamento animal. Ferramentas como o DeepLabCut (DLC) oferecem uma base sólida para que métricas comportamentais sejam extraídas de maneira eficiente e, crucialmente, indistinguível da análise realizada por um experimentador humano treinado </w:t>
      </w:r>
      <w:r>
        <w:fldChar w:fldCharType="begin"/>
      </w:r>
      <w:r w:rsidR="0069643E">
        <w:instrText xml:space="preserve"> ADDIN ZOTERO_ITEM CSL_CITATION {"citationID":"roY8jWER","properties":{"formattedCitation":"(Mathis et al., 2018; Nath et al., 2019)","plainCitation":"(Mathis et al., 2018; Nath et al., 2019)","noteIndex":0},"citationItems":[{"id":3692,"uris":["http://zotero.org/users/7052761/items/CTYTY6NA"],"itemData":{"id":3692,"type":"article-journal","abstract":"Quantifying behavior is crucial for many applications in neuroscience. Videography provides easy methods for the observation and recording of animal behavior in diverse settings, yet extracting particular aspects of a behavior for further analysis can be highly time consuming. In motor control studies, humans or other animals are often marked with reflective markers to assist with computer-based tracking, but markers are intrusive, and the number and location of the markers must be determined a priori. Here we present an efficient method for markerless pose estimation based on transfer learning with deep neural networks that achieves excellent results with minimal training data. We demonstrate the versatility of this framework by tracking various body parts in multiple species across a broad collection of behaviors. Remarkably, even when only a small number of frames are labeled (~200), the algorithm achieves excellent tracking performance on test frames that is comparable to human accuracy.","container-title":"Nature Neuroscience","DOI":"10.1038/s41593-018-0209-y","ISSN":"1546-1726","issue":"9","journalAbbreviation":"Nat Neurosci","language":"en","license":"2018 The Author(s)","note":"publisher: Nature Publishing Group","page":"1281-1289","source":"www.nature.com","title":"DeepLabCut: markerless pose estimation of user-defined body parts with deep learning","title-short":"DeepLabCut","volume":"21","author":[{"family":"Mathis","given":"Alexander"},{"family":"Mamidanna","given":"Pranav"},{"family":"Cury","given":"Kevin M."},{"family":"Abe","given":"Taiga"},{"family":"Murthy","given":"Venkatesh N."},{"family":"Mathis","given":"Mackenzie Weygandt"},{"family":"Bethge","given":"Matthias"}],"issued":{"date-parts":[["2018",9]]}}},{"id":3690,"uris":["http://zotero.org/users/7052761/items/FUT53JID"],"itemData":{"id":3690,"type":"article-journal","abstract":"Noninvasive behavioral tracking of animals during experiments is critical to many scientific pursuits. Extracting the poses of animals without using markers is often essential to measuring behavioral effects in biomechanics, genetics, ethology, and neuroscience. However, extracting detailed poses without markers in dynamically changing backgrounds has been challenging. We recently introduced an open-source toolbox called DeepLabCut that builds on a state-of-the-art human pose-estimation algorithm to allow a user to train a deep neural network with limited training data to precisely track user-defined features that match human labeling accuracy. Here, we provide an updated toolbox, developed as a Python package, that includes new features such as graphical user interfaces (GUIs), performance improvements, and active-learning-based network refinement. We provide a step-by-step procedure for using DeepLabCut that guides the user in creating a tailored, reusable analysis pipeline with a graphical processing unit (GPU) in 1–12 h (depending on frame size). Additionally, we provide Docker environments and Jupyter Notebooks that can be run on cloud resources such as Google Colaboratory.","container-title":"Nature Protocols","DOI":"10.1038/s41596-019-0176-0","ISSN":"1750-2799","issue":"7","journalAbbreviation":"Nat Protoc","language":"en","license":"2019 The Author(s), under exclusive licence to Springer Nature Limited","note":"publisher: Nature Publishing Group","page":"2152-2176","source":"www.nature.com","title":"Using DeepLabCut for 3D markerless pose estimation across species and behaviors","volume":"14","author":[{"family":"Nath","given":"Tanmay"},{"family":"Mathis","given":"Alexander"},{"family":"Chen","given":"An Chi"},{"family":"Patel","given":"Amir"},{"family":"Bethge","given":"Matthias"},{"family":"Mathis","given":"Mackenzie Weygandt"}],"issued":{"date-parts":[["2019",7]]}}}],"schema":"https://github.com/citation-style-language/schema/raw/master/csl-citation.json"} </w:instrText>
      </w:r>
      <w:r>
        <w:fldChar w:fldCharType="separate"/>
      </w:r>
      <w:r w:rsidR="0069643E" w:rsidRPr="0069643E">
        <w:rPr>
          <w:rFonts w:cs="Arial"/>
        </w:rPr>
        <w:t>(Mathis et al., 2018; Nath et al., 2019)</w:t>
      </w:r>
      <w:r>
        <w:fldChar w:fldCharType="end"/>
      </w:r>
      <w:r>
        <w:t>. Essa abordagem permite a extração de pontos-chave (como focinho, orelhas e centro do corpo) quadro a quadro, possibilitando a quantificação de dinâmicas complexas que a análise manual não permite.</w:t>
      </w:r>
    </w:p>
    <w:p w14:paraId="5EEB1AFE" w14:textId="77777777" w:rsidR="002F6043" w:rsidRPr="00462D8B" w:rsidRDefault="002F6043" w:rsidP="002F6043"/>
    <w:p w14:paraId="3B8122C9" w14:textId="50A3258E" w:rsidR="00465C19" w:rsidRDefault="00465C19" w:rsidP="008C05D2">
      <w:pPr>
        <w:pStyle w:val="Heading1"/>
      </w:pPr>
      <w:r>
        <w:lastRenderedPageBreak/>
        <w:t>JUSTIFICATIVA</w:t>
      </w:r>
    </w:p>
    <w:p w14:paraId="06A3B430" w14:textId="45CFC5CC" w:rsidR="00C914E6" w:rsidRDefault="00C914E6" w:rsidP="00260BB1"/>
    <w:p w14:paraId="58AE6327" w14:textId="7DAF5D5B" w:rsidR="0069643E" w:rsidRDefault="0069643E" w:rsidP="0069643E">
      <w:pPr>
        <w:ind w:firstLine="720"/>
      </w:pPr>
      <w:r>
        <w:t xml:space="preserve">A memória episódica, por definição, é multi-componente </w:t>
      </w:r>
      <w:r>
        <w:fldChar w:fldCharType="begin"/>
      </w:r>
      <w:r>
        <w:instrText xml:space="preserve"> ADDIN ZOTERO_ITEM CSL_CITATION {"citationID":"ERSpbmsr","properties":{"formattedCitation":"(Tulving, 1992, 2002)","plainCitation":"(Tulving, 1992, 2002)","noteIndex":0},"citationItems":[{"id":3639,"uris":["http://zotero.org/users/7052761/items/BGLRWWWQ"],"itemData":{"id":3639,"type":"book","collection-number":"2","collection-title":"Oxford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Memory","volume":"53","author":[{"family":"Tulving","given":"Endel"}],"issued":{"date-parts":[["2002",2]]}}}],"schema":"https://github.com/citation-style-language/schema/raw/master/csl-citation.json"} </w:instrText>
      </w:r>
      <w:r>
        <w:fldChar w:fldCharType="separate"/>
      </w:r>
      <w:r w:rsidRPr="0069643E">
        <w:rPr>
          <w:rFonts w:cs="Arial"/>
        </w:rPr>
        <w:t>(Tulving, 1992, 2002)</w:t>
      </w:r>
      <w:r>
        <w:fldChar w:fldCharType="end"/>
      </w:r>
      <w:r>
        <w:t>, integrando os elementos centrais que constituem uma experiência: "o quê" (um evento ou objeto), "onde" (o contexto espacial), "quando" (o contexto temporal) e, em espécies sociais, "quem" (o conspecífico). Na neurociência comportamental, a complexidade dessa integração levou ao desenvolvimento de paradigmas que permitem dissociar e avaliar esses componentes de forma controlada. Para este fim, o teste de reconhecimento de objetos é amplamente utilizado para investigar o componente "o quê", enquanto o teste de reconhecimento social se estabeleceu como a ferramenta padrão para avaliar especificamente o componente "quem" (Engelmann, 2009; Perna et al., 2015).</w:t>
      </w:r>
    </w:p>
    <w:p w14:paraId="76320D48" w14:textId="04139107" w:rsidR="0069643E" w:rsidRDefault="0069643E" w:rsidP="0069643E">
      <w:pPr>
        <w:ind w:firstLine="720"/>
      </w:pPr>
      <w:r>
        <w:t>Como o foco desta dissertação recai sobre a interação crítica entre os componentes "quem" e "onde" o teste de reconhecimento social se mostra como uma ferramenta robusta, embora a literatura que investiga como a memória social é modulada pelo contexto espacial ainda é incipiente. Sabe-se que o hipocampo, especificamente a região CA2, é altamente sensível à novidade social. Estudos de eletrofisiologia demonstraram que a mera apresentação de um estímulo social novo induz o remapeamento global dos campos de lugar em CA2, um efeito não observado em CA1 (Alexander et al., 2005; Wu et al., 2023). Isso sugere uma codificação neural especializada para o "contexto social".</w:t>
      </w:r>
    </w:p>
    <w:p w14:paraId="6C6FAB4F" w14:textId="507DC5A1" w:rsidR="0069643E" w:rsidRDefault="0069643E" w:rsidP="0069643E">
      <w:pPr>
        <w:ind w:firstLine="720"/>
      </w:pPr>
      <w:r>
        <w:t>No entanto, esses estudos focaram em como um estímulo social altera a representação neural de um espaço. A questão inversa, e central para a memória episódica, permanece largamente inexplorada: como uma mudança no contexto espacial impacta a evocação da memória social? O animal é capaz de reconhecer um indivíduo familiar se o encontro ocorrer em um local completamente novo? Esta é uma lacuna crítica, pois, como aponta uma revisão recente (Cum et al., 2024), a neurobiologia da memória social, particularmente sua integração multissensorial com pistas contextuais ambientais, ainda é pouco compreendida.</w:t>
      </w:r>
    </w:p>
    <w:p w14:paraId="4EE402DE" w14:textId="4C8974CD" w:rsidR="0069643E" w:rsidRDefault="0069643E" w:rsidP="0069643E">
      <w:pPr>
        <w:ind w:firstLine="720"/>
      </w:pPr>
      <w:r>
        <w:t xml:space="preserve">Portanto, a presente dissertação se justifica pela necessidade de preencher essa lacuna, investigando experimentalmente como a evocação da memória social ("quem") </w:t>
      </w:r>
      <w:r>
        <w:lastRenderedPageBreak/>
        <w:t>é dependente da estabilidade do contexto ("onde"). Para dissecar essa interação, é imperativo não apenas um desenho experimental que manipule ambas as variáveis, mas também uma metodologia de análise comportamental capaz de capturar as nuances dessa interação de forma objetiva e precisa, justificando o desenvolvimento de ferramentas de análise automatizadas.</w:t>
      </w:r>
    </w:p>
    <w:p w14:paraId="5052CD9D" w14:textId="77777777" w:rsidR="0069643E" w:rsidRDefault="0069643E" w:rsidP="0069643E"/>
    <w:p w14:paraId="404D01CA" w14:textId="514450B4" w:rsidR="00462D8B" w:rsidRPr="00462D8B" w:rsidRDefault="00465C19" w:rsidP="00C914E6">
      <w:pPr>
        <w:pStyle w:val="Heading1"/>
      </w:pPr>
      <w:r>
        <w:t>OBJETIVOS</w:t>
      </w:r>
    </w:p>
    <w:p w14:paraId="316F6A9F" w14:textId="1EBCC594" w:rsidR="005E4CC1" w:rsidRDefault="005E4CC1" w:rsidP="005E4CC1">
      <w:pPr>
        <w:pStyle w:val="Heading2"/>
      </w:pPr>
      <w:r>
        <w:t>OBJETIVO GERAL</w:t>
      </w:r>
    </w:p>
    <w:p w14:paraId="1A412463" w14:textId="3FCCDE0D" w:rsidR="006057BE" w:rsidRDefault="006057BE" w:rsidP="005E4CC1">
      <w:pPr>
        <w:ind w:firstLine="720"/>
      </w:pPr>
      <w:r>
        <w:t>Investigar a dependência contextual da memória de reconhecimento social, analisando como a alteração do contexto espacial ("onde") impacta a evocação da memória para um conspecífico familiar ("quem") em roedores.</w:t>
      </w:r>
    </w:p>
    <w:p w14:paraId="1173D546" w14:textId="7D6860DA" w:rsidR="006057BE" w:rsidRDefault="006057BE" w:rsidP="005E4CC1"/>
    <w:p w14:paraId="28588EC5" w14:textId="6AD1E751" w:rsidR="005E4CC1" w:rsidRDefault="005E4CC1" w:rsidP="005E4CC1">
      <w:pPr>
        <w:pStyle w:val="Heading2"/>
      </w:pPr>
      <w:r>
        <w:t>OBJETIVOS ESPECÍFICOS</w:t>
      </w:r>
    </w:p>
    <w:p w14:paraId="11A3EF3C" w14:textId="77777777" w:rsidR="005E4CC1" w:rsidRPr="005E4CC1" w:rsidRDefault="005E4CC1" w:rsidP="005E4CC1"/>
    <w:p w14:paraId="23C9876B" w14:textId="6B30878B" w:rsidR="006057BE" w:rsidRDefault="006057BE" w:rsidP="005E4CC1">
      <w:pPr>
        <w:pStyle w:val="ListParagraph"/>
        <w:numPr>
          <w:ilvl w:val="0"/>
          <w:numId w:val="4"/>
        </w:numPr>
      </w:pPr>
      <w:r>
        <w:t>Implementar e validar um sistema de análise comportamental automatizada, baseado em redes neurais artificiais (DeepLabCut), para quantificar objetivamente e com alta resolução as métricas de investigação social durante o teste de reconhecimento social.</w:t>
      </w:r>
    </w:p>
    <w:p w14:paraId="055CD510" w14:textId="77777777" w:rsidR="006057BE" w:rsidRDefault="006057BE" w:rsidP="005E4CC1"/>
    <w:p w14:paraId="55667B56" w14:textId="4D706070" w:rsidR="006057BE" w:rsidRDefault="006057BE" w:rsidP="005E4CC1">
      <w:pPr>
        <w:pStyle w:val="ListParagraph"/>
        <w:numPr>
          <w:ilvl w:val="0"/>
          <w:numId w:val="4"/>
        </w:numPr>
      </w:pPr>
      <w:r>
        <w:t>Estabelecer a linha de base da memória de reconhecimento social, avaliando a capacidade dos animais de discriminar entre um conspecífico familiar e um novo quando o teste ocorre em um contexto espacial estável e familiar.</w:t>
      </w:r>
    </w:p>
    <w:p w14:paraId="579678BE" w14:textId="77777777" w:rsidR="006057BE" w:rsidRDefault="006057BE" w:rsidP="005E4CC1"/>
    <w:p w14:paraId="42A2FD72" w14:textId="0D749B24" w:rsidR="006057BE" w:rsidRDefault="006057BE" w:rsidP="005E4CC1">
      <w:pPr>
        <w:pStyle w:val="ListParagraph"/>
        <w:numPr>
          <w:ilvl w:val="0"/>
          <w:numId w:val="4"/>
        </w:numPr>
      </w:pPr>
      <w:r>
        <w:t>Determinar experimentalmente o impacto da mudança do contexto espacial na evocação da memória social, comparando o desempenho no reconhecimento do conspecífico familiar quando o reencontro ocorre em um ambiente novo versus o ambiente familiar original.</w:t>
      </w:r>
    </w:p>
    <w:p w14:paraId="01E1D1E3" w14:textId="77777777" w:rsidR="006057BE" w:rsidRDefault="006057BE" w:rsidP="005E4CC1"/>
    <w:p w14:paraId="22CE9F0C" w14:textId="3F18812A" w:rsidR="007014F4" w:rsidRPr="005E4CC1" w:rsidRDefault="006057BE" w:rsidP="005E4CC1">
      <w:pPr>
        <w:pStyle w:val="ListParagraph"/>
        <w:numPr>
          <w:ilvl w:val="0"/>
          <w:numId w:val="4"/>
        </w:numPr>
        <w:rPr>
          <w:highlight w:val="yellow"/>
        </w:rPr>
      </w:pPr>
      <w:r>
        <w:t xml:space="preserve">Caracterizar as estratégias comportamentais e os padrões de navegação dos animais durante a evocação da memória social nos diferentes contextos (familiar </w:t>
      </w:r>
      <w:r>
        <w:lastRenderedPageBreak/>
        <w:t>vs. novo), utilizando os dados de alta resolução extraídos pela ferramenta de análise automatizada.</w:t>
      </w:r>
      <w:r w:rsidR="005E4CC1">
        <w:t xml:space="preserve"> </w:t>
      </w:r>
      <w:r w:rsidR="005E4CC1" w:rsidRPr="005E4CC1">
        <w:rPr>
          <w:highlight w:val="yellow"/>
        </w:rPr>
        <w:t>(FALTA ISSO NOS RESULTADOS E DISCUSSÃO)</w:t>
      </w:r>
    </w:p>
    <w:p w14:paraId="60509618" w14:textId="77777777" w:rsidR="005E4CC1" w:rsidRDefault="005E4CC1" w:rsidP="005E4CC1"/>
    <w:p w14:paraId="1DAFACE4" w14:textId="14A54181" w:rsidR="00465C19" w:rsidRDefault="00465C19" w:rsidP="008C05D2">
      <w:pPr>
        <w:pStyle w:val="Heading1"/>
      </w:pPr>
      <w:r>
        <w:t>MATERIAIS E MÉTODOS</w:t>
      </w:r>
    </w:p>
    <w:p w14:paraId="7FA5BF35" w14:textId="77777777" w:rsidR="007014F4" w:rsidRPr="007014F4" w:rsidRDefault="007014F4" w:rsidP="007014F4"/>
    <w:p w14:paraId="250DB05C" w14:textId="765DBB70" w:rsidR="007014F4" w:rsidRDefault="00260BB1" w:rsidP="00351C49">
      <w:pPr>
        <w:pStyle w:val="Heading2"/>
      </w:pPr>
      <w:r>
        <w:t>ANIMAIS</w:t>
      </w:r>
    </w:p>
    <w:p w14:paraId="78940984" w14:textId="77777777" w:rsidR="007014F4" w:rsidRPr="007014F4" w:rsidRDefault="007014F4" w:rsidP="007014F4"/>
    <w:p w14:paraId="43E03065" w14:textId="0E26E55D" w:rsidR="00C914E6" w:rsidRDefault="00C914E6" w:rsidP="00C914E6">
      <w:pPr>
        <w:ind w:firstLine="720"/>
      </w:pPr>
      <w:r>
        <w:t>Todos os procedimentos experimentais e o manejo dos animais seguiram as diretrizes éticas e foram previamente aprovados pela Comissão de Ética no Uso de Animais (CEUA) da Universidade Federal de Minas Gerais - UFMG sob o protocolo de licença número 94/2024 (Anexo).</w:t>
      </w:r>
    </w:p>
    <w:p w14:paraId="3B34C30D" w14:textId="4A9E3097" w:rsidR="00C914E6" w:rsidRDefault="00C914E6" w:rsidP="00C914E6">
      <w:pPr>
        <w:ind w:firstLine="720"/>
      </w:pPr>
      <w:r>
        <w:t>Foram utilizados camundongos machos da linhagem C57BL/6, provenientes do biotério central da UFMG e realocados para às instalações do biotério de experimentação exclusivo para camundongos do Departamento de Fisiologia e Biofísica, e antes do início de qualquer manipulação experimental, os animais passaram por um período de aclimatação de, no mínimo, uma semana para minimizar o estresse do transporte e garantir a adaptação ao novo ambiente.</w:t>
      </w:r>
    </w:p>
    <w:p w14:paraId="722BA37C" w14:textId="26CF876B" w:rsidR="00C914E6" w:rsidRDefault="00C914E6" w:rsidP="00C914E6">
      <w:pPr>
        <w:ind w:firstLine="720"/>
      </w:pPr>
      <w:r>
        <w:t>Durante todo o período experimental, os animais foram mantidos em gaiolas padrão de polipropileno (dimensões: 30x20x13 cm), com uma densidade máxima de cinco animais por gaiola. As gaiolas foram alocadas em estantes ventiladas dentro de uma sala com condições ambientais controladas, incluindo temperatura mantida em 22±1</w:t>
      </w:r>
      <w:r>
        <w:rPr>
          <w:rFonts w:ascii="Cambria Math" w:hAnsi="Cambria Math" w:cs="Cambria Math"/>
        </w:rPr>
        <w:t>∘</w:t>
      </w:r>
      <w:r>
        <w:t>C, umidade relativa do ar entre 40-70% e um ciclo claro-escuro de 12/12 horas. Ração e água foram fornecidas ad libitum.</w:t>
      </w:r>
    </w:p>
    <w:p w14:paraId="0F2BBD1E" w14:textId="77777777" w:rsidR="00C914E6" w:rsidRDefault="00C914E6" w:rsidP="00C914E6"/>
    <w:p w14:paraId="35367D15" w14:textId="76E03A72" w:rsidR="00C914E6" w:rsidRDefault="00C914E6" w:rsidP="00C914E6">
      <w:r>
        <w:t>O estudo utilizou dois grupos de animais:</w:t>
      </w:r>
    </w:p>
    <w:p w14:paraId="6FC2DFC2" w14:textId="38497FC0" w:rsidR="00C914E6" w:rsidRDefault="00C914E6" w:rsidP="00260BB1">
      <w:pPr>
        <w:pStyle w:val="ListParagraph"/>
        <w:numPr>
          <w:ilvl w:val="0"/>
          <w:numId w:val="3"/>
        </w:numPr>
      </w:pPr>
      <w:r>
        <w:t>Animais Experimentais: Composto por camundongos machos adultos, com idade entre oito e doze semanas no início dos experimentos.</w:t>
      </w:r>
    </w:p>
    <w:p w14:paraId="04549E35" w14:textId="70DCB9BC" w:rsidR="00C914E6" w:rsidRDefault="00C914E6" w:rsidP="00260BB1">
      <w:pPr>
        <w:pStyle w:val="ListParagraph"/>
        <w:numPr>
          <w:ilvl w:val="0"/>
          <w:numId w:val="3"/>
        </w:numPr>
      </w:pPr>
      <w:r>
        <w:t>Animais de Estímulo: Composto por camundongos machos juvenis, com idade entre 21 e 30 dias. Estes animais foram utilizados exclusivamente como estímulo social durante a realização das tarefas comportamentais de reconhecimento social.</w:t>
      </w:r>
    </w:p>
    <w:p w14:paraId="704C63B9" w14:textId="77777777" w:rsidR="0069643E" w:rsidRDefault="0069643E" w:rsidP="0069643E">
      <w:pPr>
        <w:ind w:firstLine="720"/>
      </w:pPr>
    </w:p>
    <w:p w14:paraId="3D45FC58" w14:textId="4B9D6584" w:rsidR="00C914E6" w:rsidRDefault="00C914E6" w:rsidP="0069643E">
      <w:pPr>
        <w:ind w:firstLine="720"/>
      </w:pPr>
      <w:r>
        <w:t>Além disso, visando o princípio dos 3Rs (Redução) no uso de animais, os camundongos juvenis utilizados como estímulo não foram sacrificados ao término dessa tarefa. Eles foram mantidos nas mesmas condições de biotério descritas acima até atingirem a idade de 8 semanas, sendo então realocados e reutilizados como animais experimentais em outros protocolos deste mesmo projeto.</w:t>
      </w:r>
    </w:p>
    <w:p w14:paraId="38BB40CA" w14:textId="0C9E792F" w:rsidR="00C914E6" w:rsidRDefault="00C914E6" w:rsidP="00C914E6"/>
    <w:p w14:paraId="178814E4" w14:textId="2CEB1871" w:rsidR="00C914E6" w:rsidRPr="00260BB1" w:rsidRDefault="00260BB1" w:rsidP="00351C49">
      <w:pPr>
        <w:pStyle w:val="Heading2"/>
      </w:pPr>
      <w:r>
        <w:t>TAREFA DE RECONHECIMENTO SOCIAL</w:t>
      </w:r>
    </w:p>
    <w:p w14:paraId="04E307F0" w14:textId="77777777" w:rsidR="00572601" w:rsidRPr="00572601" w:rsidRDefault="00572601" w:rsidP="00572601"/>
    <w:p w14:paraId="4FE4A184" w14:textId="2BDCF018" w:rsidR="00572601" w:rsidRDefault="00572601" w:rsidP="00572601">
      <w:pPr>
        <w:ind w:firstLine="720"/>
      </w:pPr>
      <w:r>
        <w:t xml:space="preserve">A memória de reconhecimento social foi avaliada utilizando-se a Tarefa de Reconhecimento Social. O protocolo seguido foi adaptado da primeira versão proposta por Thor e Holloway (1982) e já extensamente descrito em trabalhos anteriores do nosso grupo </w:t>
      </w:r>
      <w:r w:rsidR="0006726C">
        <w:t xml:space="preserve">(Almeida-santos et al., 2019; Guarnieri et al., 2020; Gusmão et al., 2012; Lüscher dias et al., 2016; Monteiro et al., 2014; Pena et al., 2014; Pereira-caixeta et al., 2017, 2018) </w:t>
      </w:r>
      <w:r w:rsidRPr="00572601">
        <w:rPr>
          <w:highlight w:val="yellow"/>
        </w:rPr>
        <w:t>------adicionar essas referências no ZOTERO-------.</w:t>
      </w:r>
    </w:p>
    <w:p w14:paraId="713A0FB4" w14:textId="6285AA91" w:rsidR="00572601" w:rsidRDefault="00572601" w:rsidP="00572601">
      <w:pPr>
        <w:ind w:firstLine="720"/>
      </w:pPr>
      <w:r>
        <w:t>O teste é composto por múltiplas fases: habituação, treino e teste. Em condições naturais, espera-se que o tempo de interação social do animal residente (adulto) com o intruso (juvenil) diminua no segundo encontro (teste) quando comparado ao primeiro (treino), indicando a formação e expressão da memória.</w:t>
      </w:r>
    </w:p>
    <w:p w14:paraId="57A4AA73" w14:textId="1F1806CE" w:rsidR="00572601" w:rsidRDefault="00572601" w:rsidP="00572601">
      <w:pPr>
        <w:ind w:firstLine="720"/>
      </w:pPr>
      <w:r>
        <w:t>Cada animal passou pela tarefa individualmente em um aparato que consistia de: (1) uma caixa de acrílico (30x30x30cm); e (2) um cilindro de metal (porta canetas com orifícios espalhados nas laterais) posicionado no centro. Os orifícios são igualmente distribuídos em sua parede para permitir a interação oro-nasal, mas impedir o contato físico direto. Todo o aparato foi devidamente limpo com álcool 70% entre os testes dos diferentes animais para eliminar pistas olfativas.</w:t>
      </w:r>
    </w:p>
    <w:p w14:paraId="35C957AC" w14:textId="24670925" w:rsidR="00260BB1" w:rsidRDefault="00260BB1" w:rsidP="00260BB1">
      <w:pPr>
        <w:ind w:firstLine="720"/>
      </w:pPr>
      <w:r>
        <w:t>Para investigar se a persistência da memória social era dependente do ambiente de aquisição, foram empregados dois contextos distintos, denominados Contexto A e Contexto B. Ambos possuíam as mesmas dimensões (30x30x30cm), porém diferiam significativamente em suas características visuais, somatossensoriais (textura do piso) e olfativas (agente de limpeza).</w:t>
      </w:r>
    </w:p>
    <w:p w14:paraId="7B406732" w14:textId="4E6BF80E" w:rsidR="00260BB1" w:rsidRDefault="00260BB1" w:rsidP="00260BB1">
      <w:pPr>
        <w:ind w:firstLine="720"/>
      </w:pPr>
      <w:r>
        <w:lastRenderedPageBreak/>
        <w:t>O Contexto A consistia em uma caixa com paredes brancas e piso branco liso. A pista olfativa deste ambiente foi definida pela higienização do aparato (caixa e cilindro) com álcool 70% entre os animais.</w:t>
      </w:r>
    </w:p>
    <w:p w14:paraId="6EDFB25E" w14:textId="41EF52ED" w:rsidR="00260BB1" w:rsidRDefault="00260BB1" w:rsidP="00260BB1">
      <w:pPr>
        <w:ind w:firstLine="720"/>
      </w:pPr>
      <w:r>
        <w:t xml:space="preserve">O Contexto B foi estruturado para ser multissensorialmente distinto. Visualmente, apresentava paredes com listras verticais pretas e brancas e um formato interno octogonal (adaptado com triângulos </w:t>
      </w:r>
      <w:r w:rsidR="0006726C">
        <w:t>de papelão pintados e impermeabilizados</w:t>
      </w:r>
      <w:r>
        <w:t>). A pista somatossensorial foi modificada utilizando-se um piso de grade de metal verde. Como pista olfativa, a limpeza do aparato foi realizada com uma solução de ácido acético 1%</w:t>
      </w:r>
    </w:p>
    <w:p w14:paraId="3E409B41" w14:textId="77777777" w:rsidR="00572601" w:rsidRDefault="00572601" w:rsidP="0006726C"/>
    <w:p w14:paraId="281A8A9C" w14:textId="58FDF528" w:rsidR="00572601" w:rsidRDefault="00572601" w:rsidP="00572601">
      <w:r>
        <w:t>O protocolo experimental foi dividido da seguinte forma:</w:t>
      </w:r>
    </w:p>
    <w:p w14:paraId="1D444BCE" w14:textId="64BA544B" w:rsidR="00572601" w:rsidRDefault="00572601" w:rsidP="00260BB1">
      <w:pPr>
        <w:pStyle w:val="ListParagraph"/>
        <w:numPr>
          <w:ilvl w:val="0"/>
          <w:numId w:val="2"/>
        </w:numPr>
      </w:pPr>
      <w:r>
        <w:t>Dia 0 (Habituação ao Aparato): O animal residente foi habituado na caixa de teste contendo o cilindro vazio por 20 minutos, permitindo a livre exploração.</w:t>
      </w:r>
    </w:p>
    <w:p w14:paraId="601CDC1A" w14:textId="77777777" w:rsidR="00572601" w:rsidRDefault="00572601" w:rsidP="00260BB1"/>
    <w:p w14:paraId="4E34A91C" w14:textId="02537F6F" w:rsidR="00572601" w:rsidRDefault="00572601" w:rsidP="00260BB1">
      <w:pPr>
        <w:pStyle w:val="ListParagraph"/>
        <w:numPr>
          <w:ilvl w:val="0"/>
          <w:numId w:val="2"/>
        </w:numPr>
      </w:pPr>
      <w:r>
        <w:t>Dia 1 (Treino): 24 horas após a habituação inicial, o residente passou por uma segunda sessão de habituação ao contexto por 10 minutos (caixa + cilindro vazio). Imediatamente após, iniciou-se a sessão de treino: o camundongo juvenil (intruso) foi colocado no interior do cilindro, e o comportamento de interação social do residente foi filmado por 5 minutos.</w:t>
      </w:r>
    </w:p>
    <w:p w14:paraId="554884F1" w14:textId="77777777" w:rsidR="00572601" w:rsidRDefault="00572601" w:rsidP="00260BB1"/>
    <w:p w14:paraId="5A20EF5C" w14:textId="584C68FD" w:rsidR="00572601" w:rsidRDefault="00572601" w:rsidP="00260BB1">
      <w:pPr>
        <w:pStyle w:val="ListParagraph"/>
        <w:numPr>
          <w:ilvl w:val="0"/>
          <w:numId w:val="2"/>
        </w:numPr>
      </w:pPr>
      <w:r>
        <w:t>Dia 2 (Teste de MLD): A memória de longa duração (MLD) foi testada 24 horas após o treino. O procedimento foi idêntico ao Dia 1, incluindo os 10 minutos de habituação ao contexto, seguidos pela reapresentação do mesmo intruso no cilindro por 5 minutos.</w:t>
      </w:r>
    </w:p>
    <w:p w14:paraId="32F08F4D" w14:textId="77777777" w:rsidR="00572601" w:rsidRDefault="00572601" w:rsidP="00572601"/>
    <w:p w14:paraId="287D8951" w14:textId="50111380" w:rsidR="00572601" w:rsidRDefault="00572601" w:rsidP="0006726C">
      <w:pPr>
        <w:ind w:firstLine="360"/>
      </w:pPr>
      <w:r>
        <w:t>Durante as sessões de treino (Dia 1) e testes (Dia 2), o tempo de interação social – definido como o tempo em que o animal residente manteve o focinho ativamente direcionado a um dos orifícios do cilindro – foi filmado por um sistema de câmera digital para posterior análise.</w:t>
      </w:r>
    </w:p>
    <w:p w14:paraId="37D74F08" w14:textId="70447915" w:rsidR="007F1860" w:rsidRDefault="007F1860" w:rsidP="007F1860"/>
    <w:p w14:paraId="0DE60AF3" w14:textId="3D9AAA31" w:rsidR="0006726C" w:rsidRDefault="0006726C" w:rsidP="00351C49">
      <w:pPr>
        <w:pStyle w:val="Heading2"/>
      </w:pPr>
      <w:r>
        <w:t>QUANTIFICAÇÃO</w:t>
      </w:r>
    </w:p>
    <w:p w14:paraId="717FE88C" w14:textId="77777777" w:rsidR="0069643E" w:rsidRPr="0069643E" w:rsidRDefault="0069643E" w:rsidP="0069643E"/>
    <w:p w14:paraId="3789F7E9" w14:textId="6BE9F13B" w:rsidR="0006726C" w:rsidRDefault="00FA186D" w:rsidP="00FA186D">
      <w:pPr>
        <w:ind w:firstLine="720"/>
      </w:pPr>
      <w:r>
        <w:lastRenderedPageBreak/>
        <w:t>Para alcançar o objetivo de analisar objetivamente a memória social dependente de contexto, foi criada uma ferramenta analítica que utiliza redes neurais artificiais (especificamente o DeepLabCut) para a extração de pose, e algoritmos matemáticos subsequentes para quantificar o comportamento animal. Esta abordagem permite o cálculo preciso de métricas essenciais, como o tempo de investigação social (baseado na orientação da cabeça em relação ao conspecífico) e parâmetros locomotores gerais (distância, velocidade e imobilidade), fornecendo uma descrição robusta e objetiva do desempenho do animal.</w:t>
      </w:r>
    </w:p>
    <w:p w14:paraId="78A6E4AF" w14:textId="597F4E8E" w:rsidR="00E050AE" w:rsidRDefault="00E050AE" w:rsidP="00E050AE">
      <w:pPr>
        <w:ind w:firstLine="720"/>
      </w:pPr>
      <w:r>
        <w:t>Para automatizar a quantificação do comportamento, foi desenvolvida uma ferramenta de software personalizada. A sua interface gráfica (GUI) foi encapsulada usando PySide6, uma biblioteca Python para a criação de interfaces de usuário Qt. Esta interface funciona como um wrapper que gerencia um pipeline de análise em duas etapas: primeiramente, a extração de coordenadas de pose a partir dos vídeos e, subsequentemente, o cálculo de métricas comportamentais (como tempo de investigação e locomoção) a partir dessas coordenadas.</w:t>
      </w:r>
    </w:p>
    <w:p w14:paraId="7B9528B1" w14:textId="77777777" w:rsidR="00E050AE" w:rsidRDefault="00E050AE" w:rsidP="00E050AE">
      <w:pPr>
        <w:ind w:firstLine="720"/>
      </w:pPr>
      <w:r>
        <w:t xml:space="preserve">A primeira etapa, a estimativa de pose, foi implementada utilizando o DeepLabCut (DLC) (Mathis et al., 2018), um software de código aberto para estimativa de pose animal sem marcadores. O DLC é um framework que aplica o aprendizado por transferência (transfer learning) a redes neurais profundas (DNNs) pré-treinadas. Especificamente, foi utilizada uma rede neural com a arquitetura ResNet-50 (He et al., 2016), que foi pré-treinada no extenso banco de dados de imagens ImageNet (Deng et al., 2009), permitindo que a rede aprenda características visuais robustas antes de ser especializada na tarefa de detecção de animais. </w:t>
      </w:r>
    </w:p>
    <w:p w14:paraId="0D59F8BE" w14:textId="1A31EFA0" w:rsidR="00C4787C" w:rsidRDefault="00C4787C" w:rsidP="00C4787C">
      <w:pPr>
        <w:ind w:firstLine="720"/>
      </w:pPr>
      <w:r>
        <w:t>O processo de treinamento do modelo DLC (detalhado na Figura 1) iniciou-se com a extração de quadros (frames) estáticos dos vídeos comportamentais. Um conjunto desses quadros foi então rotulado manualmente, anotando-se a localização de pontos-chave (ex: focinho, orelhas, centro e base da cauda). Esta rede ResNet-50 pré-treinada foi, então, "afunilada" (fine-tuned) utilizando esses quadros rotulados, especializando-a para identificar com precisão os pontos-chave dos animais neste contexto experimental específico.</w:t>
      </w:r>
    </w:p>
    <w:p w14:paraId="7B68B836" w14:textId="77777777" w:rsidR="00C4787C" w:rsidRDefault="00C4787C" w:rsidP="00C4787C">
      <w:pPr>
        <w:ind w:firstLine="720"/>
      </w:pPr>
      <w:r>
        <w:lastRenderedPageBreak/>
        <w:t>Após o treinamento, o modelo DLC foi utilizado para analisar todos os vídeos experimentais, gerando um conjunto de dados de coordenadas (x, y) e a probabilidade de confiança para cada ponto-chave em cada quadro. Esse conjunto de dados de alta resolução, que representa a postura e a posição do animal ao longo do tempo, serviu como a entrada de dados (input) para a segunda etapa do pipeline: o cálculo algorítmico das métricas comportamentais, descrito a seguir.</w:t>
      </w:r>
    </w:p>
    <w:p w14:paraId="0D537F71" w14:textId="11E78916" w:rsidR="00C4787C" w:rsidRDefault="00C4787C" w:rsidP="00C4787C"/>
    <w:p w14:paraId="7A82D4E0" w14:textId="02F55E5E" w:rsidR="00C4787C" w:rsidRDefault="00C4787C" w:rsidP="00C4787C">
      <w:pPr>
        <w:jc w:val="center"/>
      </w:pPr>
      <w:r>
        <w:t>-----INSRERIR FIGURA AQUI-----</w:t>
      </w:r>
    </w:p>
    <w:p w14:paraId="4C083003" w14:textId="7B6FDBE3" w:rsidR="0006726C" w:rsidRPr="0006726C" w:rsidRDefault="0006726C" w:rsidP="00C4787C">
      <w:pPr>
        <w:rPr>
          <w:i/>
          <w:iCs/>
          <w:sz w:val="18"/>
          <w:szCs w:val="18"/>
        </w:rPr>
      </w:pPr>
      <w:r w:rsidRPr="0006726C">
        <w:rPr>
          <w:i/>
          <w:iCs/>
          <w:sz w:val="18"/>
          <w:szCs w:val="18"/>
        </w:rPr>
        <w:t>Figura 1 – Utilizando o DeepLabCut</w:t>
      </w:r>
    </w:p>
    <w:p w14:paraId="7126B0D3" w14:textId="574CBBC9" w:rsidR="0006726C" w:rsidRDefault="0006726C" w:rsidP="0006726C">
      <w:pPr>
        <w:rPr>
          <w:i/>
          <w:iCs/>
          <w:sz w:val="18"/>
          <w:szCs w:val="18"/>
        </w:rPr>
      </w:pPr>
      <w:r w:rsidRPr="0006726C">
        <w:rPr>
          <w:i/>
          <w:iCs/>
          <w:sz w:val="18"/>
          <w:szCs w:val="18"/>
        </w:rPr>
        <w:t>Legenda: O projeto é iniciado definindo o contexto experimental e configurando parâmetros como tamanho do conjunto de treinamento (neste caso sendo configurado como imagens estáticas extraídas dos vídeos comportamentais. A extração de quadros dos vídeos gravados segue, criando um conjunto de dados diversificado para análise subsequente. Na fase de rotulagem de quadros, anotadores humanos marcam partes-chave do corpo em cada quadro, gerando dados rotulados. Esses quadros rotulados são então organizados em um conjunto de dados, que é subsequentemente dividido em conjuntos de treinamento e validação. A rede é treinada usando o conjunto de treinamento, atualizando iterativamente seus pesos para aprender as relações espaciais dos pontos-chave rotulados. Uma vez treinado, o modelo é avaliado em novos dados de vídeo para avaliar seu desempenho de generalização. Este fluxo de trabalho facilita a estimativa de pose robusta e precisa, permitindo a extração de padrões de comportamento dos vídeos experimentais.</w:t>
      </w:r>
    </w:p>
    <w:p w14:paraId="35CCEE87" w14:textId="77777777" w:rsidR="00C4787C" w:rsidRPr="0006726C" w:rsidRDefault="00C4787C" w:rsidP="0006726C">
      <w:pPr>
        <w:rPr>
          <w:i/>
          <w:iCs/>
          <w:sz w:val="18"/>
          <w:szCs w:val="18"/>
        </w:rPr>
      </w:pPr>
    </w:p>
    <w:p w14:paraId="19B6F0F5" w14:textId="7D62AEE0" w:rsidR="00C4787C" w:rsidRDefault="00C4787C" w:rsidP="00C4787C">
      <w:pPr>
        <w:ind w:firstLine="720"/>
      </w:pPr>
      <w:r>
        <w:t>Especificamente, foram rotulados 800 quadros extraídos de 24 vídeos, divididos em um conjunto de 95% para treinamento e 5% para validação. Utilizou-se a arquitetura ResNet-50 com parâmetros padrão, treinada por 600.000 iterações (1 embaralhamento). O modelo final atingiu um erro de teste de 0,2 pixels e um erro de treino de 0,4 pixels (para imagens de 608x610 pixels), demonstrando alta precisão. Para as análises subsequentes, foi aplicado um limiar de confiança (p-cutoff) de 0,6 para filtrar coordenadas de baixa probabilidade, garantindo que apenas localizações de alta confiança fossem usadas.</w:t>
      </w:r>
    </w:p>
    <w:p w14:paraId="25784621" w14:textId="4DDBCE9F" w:rsidR="00C4787C" w:rsidRDefault="00C4787C" w:rsidP="00C4787C">
      <w:pPr>
        <w:ind w:firstLine="720"/>
      </w:pPr>
      <w:r>
        <w:t xml:space="preserve">Esta rede neural treinada e validada foi então utilizada para analisar todos os vídeos experimentais. A saída bruta deste processo (o output do DeepLabCut) consiste em um arquivo de dados contendo as coordenadas (x, y) e a probabilidade de confiança para cada ponto-chave (focinho, orelhas, etc.) em cada quadro (frame) do vídeo. Este conjunto de dados de alta resolução serve como o input para a segunda etapa do pipeline de análise, que é executada pela interface PySide6: um script Python personalizado, </w:t>
      </w:r>
      <w:r>
        <w:lastRenderedPageBreak/>
        <w:t>responsável por traduzir esses dados de pose brutos em métricas comportamentais quantificáveis.</w:t>
      </w:r>
    </w:p>
    <w:p w14:paraId="01927D5A" w14:textId="04927E5C" w:rsidR="00C4787C" w:rsidRDefault="00C4787C" w:rsidP="00C4787C">
      <w:pPr>
        <w:ind w:firstLine="720"/>
      </w:pPr>
      <w:r>
        <w:t>A partir desta análise algorítmica, o script gera as seguintes métricas finais para cada sessão experimental: tempo de investigação total (s), tempo total de movimentação (s), tempo total de imobilidade (s), distância total percorrida (cm) e velocidade média (cm</w:t>
      </w:r>
      <w:r>
        <w:rPr>
          <w:rFonts w:ascii="Cambria Math" w:hAnsi="Cambria Math" w:cs="Cambria Math"/>
        </w:rPr>
        <w:t>⋅</w:t>
      </w:r>
      <w:r>
        <w:t>s</w:t>
      </w:r>
      <w:r>
        <w:rPr>
          <w:rFonts w:cs="Arial"/>
        </w:rPr>
        <w:t>−</w:t>
      </w:r>
      <w:r>
        <w:t>1). Os c</w:t>
      </w:r>
      <w:r>
        <w:rPr>
          <w:rFonts w:cs="Arial"/>
        </w:rPr>
        <w:t>á</w:t>
      </w:r>
      <w:r>
        <w:t>lculos espec</w:t>
      </w:r>
      <w:r>
        <w:rPr>
          <w:rFonts w:cs="Arial"/>
        </w:rPr>
        <w:t>í</w:t>
      </w:r>
      <w:r>
        <w:t>ficos para as principais m</w:t>
      </w:r>
      <w:r>
        <w:rPr>
          <w:rFonts w:cs="Arial"/>
        </w:rPr>
        <w:t>é</w:t>
      </w:r>
      <w:r>
        <w:t>tricas s</w:t>
      </w:r>
      <w:r>
        <w:rPr>
          <w:rFonts w:cs="Arial"/>
        </w:rPr>
        <w:t>ã</w:t>
      </w:r>
      <w:r>
        <w:t>o detalhados a seguir.</w:t>
      </w:r>
    </w:p>
    <w:p w14:paraId="23F0CE60" w14:textId="6CE2EF30" w:rsidR="0006726C" w:rsidRDefault="00C4787C" w:rsidP="00C4787C">
      <w:pPr>
        <w:ind w:firstLine="720"/>
      </w:pPr>
      <w:r>
        <w:t xml:space="preserve">O tempo de investigação, a métrica central, é calculado através de uma série de etapas geométricas. O script utiliza as coordenadas do nariz e das orelhas (extraídas pelo DLC) para definir a orientação da cabeça do animal, e compara essa orientação com as Regiões de Interesse (ROIs) pré-definidas que delimitam os estímulos sociais. O tempo de investigação é então determinado pela detecção de "colisões" entre a região da cabeça do animal e as ROIs. A soma de todos os quadros onde uma colisão é detectada é utilizada como o tempo de investigação total. Dado que os vídeos foram gravados a 30 quadros por segundo (fps), </w:t>
      </w:r>
      <w:r w:rsidR="0006726C">
        <w:t xml:space="preserve">a soma de todos os instantes detectados como “colisão” é utilizada como investigação total dado que uma colisão em um vídeo gravado a 30 frames por segundo nos dá um total de 33.3 milissegundos por frame (ou instante).  </w:t>
      </w:r>
    </w:p>
    <w:p w14:paraId="04A3069E" w14:textId="55647FDA" w:rsidR="00BC11B2" w:rsidRDefault="0006726C" w:rsidP="00351C49">
      <w:pPr>
        <w:ind w:firstLine="720"/>
      </w:pPr>
      <w:r>
        <w:t>Especificamente, o algoritmo para análise envolve o cálculo do triângulo formado pelas orelhas e focinho do animal, o estabelecimento de um limiar à frente dessa região e, por último, a detecção de “colisões” entre essa área e a ROI:</w:t>
      </w:r>
    </w:p>
    <w:p w14:paraId="71402D3A" w14:textId="0DCA3D42" w:rsidR="00D031D3" w:rsidRDefault="008D187E" w:rsidP="00351C49">
      <w:pPr>
        <w:pStyle w:val="Heading3"/>
      </w:pPr>
      <w:r>
        <w:rPr>
          <w:caps w:val="0"/>
        </w:rPr>
        <w:t>CÁLCULO DO TRIÂNGULO (GEOMETRIA DA CABEÇA)</w:t>
      </w:r>
    </w:p>
    <w:p w14:paraId="1620EEB0" w14:textId="77777777" w:rsidR="006057BE" w:rsidRPr="006057BE" w:rsidRDefault="006057BE" w:rsidP="006057BE"/>
    <w:p w14:paraId="4613FAD6" w14:textId="6749F7CF" w:rsidR="00D031D3" w:rsidRDefault="00D031D3" w:rsidP="00D031D3">
      <w:r>
        <w:t xml:space="preserve">Para determinar a orientação da cabeça do animal, a geometria da cabeça é definida em cada quadro usando as coordenadas dos pontos-chave extraídos pelo DLC: </w:t>
      </w:r>
      <m:oMath>
        <m:r>
          <w:rPr>
            <w:rFonts w:ascii="Cambria Math" w:hAnsi="Cambria Math"/>
          </w:rPr>
          <m:t xml:space="preserve">Nariz </m:t>
        </m:r>
        <m:d>
          <m:dPr>
            <m:ctrlPr>
              <w:rPr>
                <w:rFonts w:ascii="Cambria Math" w:hAnsi="Cambria Math"/>
                <w:i/>
              </w:rPr>
            </m:ctrlPr>
          </m:dPr>
          <m:e>
            <m:r>
              <w:rPr>
                <w:rFonts w:ascii="Cambria Math" w:hAnsi="Cambria Math"/>
              </w:rPr>
              <m:t xml:space="preserve">N = </m:t>
            </m:r>
            <m:d>
              <m:dPr>
                <m:ctrlPr>
                  <w:rPr>
                    <w:rFonts w:ascii="Cambria Math" w:hAnsi="Cambria Math"/>
                    <w:i/>
                  </w:rPr>
                </m:ctrlPr>
              </m:dPr>
              <m:e>
                <m:r>
                  <w:rPr>
                    <w:rFonts w:ascii="Cambria Math" w:hAnsi="Cambria Math"/>
                  </w:rPr>
                  <m:t>xn, yn</m:t>
                </m:r>
              </m:e>
            </m:d>
          </m:e>
        </m:d>
        <m:r>
          <w:rPr>
            <w:rFonts w:ascii="Cambria Math" w:hAnsi="Cambria Math"/>
          </w:rPr>
          <m:t>,</m:t>
        </m:r>
      </m:oMath>
      <w:r>
        <w:t xml:space="preserve"> </w:t>
      </w:r>
      <m:oMath>
        <m:r>
          <w:rPr>
            <w:rFonts w:ascii="Cambria Math" w:hAnsi="Cambria Math"/>
          </w:rPr>
          <m:t>Orelha Esquerda</m:t>
        </m:r>
      </m:oMath>
      <w:r>
        <w:t xml:space="preserve"> </w:t>
      </w:r>
      <m:oMath>
        <m:d>
          <m:dPr>
            <m:ctrlPr>
              <w:rPr>
                <w:rFonts w:ascii="Cambria Math" w:hAnsi="Cambria Math"/>
                <w:i/>
              </w:rPr>
            </m:ctrlPr>
          </m:dPr>
          <m:e>
            <m:r>
              <w:rPr>
                <w:rFonts w:ascii="Cambria Math" w:hAnsi="Cambria Math"/>
              </w:rPr>
              <m:t xml:space="preserve">O1 = </m:t>
            </m:r>
            <m:d>
              <m:dPr>
                <m:ctrlPr>
                  <w:rPr>
                    <w:rFonts w:ascii="Cambria Math" w:hAnsi="Cambria Math"/>
                    <w:i/>
                  </w:rPr>
                </m:ctrlPr>
              </m:dPr>
              <m:e>
                <m:r>
                  <w:rPr>
                    <w:rFonts w:ascii="Cambria Math" w:hAnsi="Cambria Math"/>
                  </w:rPr>
                  <m:t>xo1, yo1</m:t>
                </m:r>
              </m:e>
            </m:d>
          </m:e>
        </m:d>
      </m:oMath>
      <w:r>
        <w:t xml:space="preserve"> e </w:t>
      </w:r>
      <m:oMath>
        <m:r>
          <w:rPr>
            <w:rFonts w:ascii="Cambria Math" w:hAnsi="Cambria Math"/>
          </w:rPr>
          <m:t>Orelha Direita</m:t>
        </m:r>
      </m:oMath>
      <w:r>
        <w:t xml:space="preserve"> </w:t>
      </w:r>
      <m:oMath>
        <m:d>
          <m:dPr>
            <m:ctrlPr>
              <w:rPr>
                <w:rFonts w:ascii="Cambria Math" w:hAnsi="Cambria Math"/>
                <w:i/>
              </w:rPr>
            </m:ctrlPr>
          </m:dPr>
          <m:e>
            <m:r>
              <w:rPr>
                <w:rFonts w:ascii="Cambria Math" w:hAnsi="Cambria Math"/>
              </w:rPr>
              <m:t xml:space="preserve">O2 = </m:t>
            </m:r>
            <m:d>
              <m:dPr>
                <m:ctrlPr>
                  <w:rPr>
                    <w:rFonts w:ascii="Cambria Math" w:hAnsi="Cambria Math"/>
                    <w:i/>
                  </w:rPr>
                </m:ctrlPr>
              </m:dPr>
              <m:e>
                <m:r>
                  <w:rPr>
                    <w:rFonts w:ascii="Cambria Math" w:hAnsi="Cambria Math"/>
                  </w:rPr>
                  <m:t>xo2, yo2</m:t>
                </m:r>
              </m:e>
            </m:d>
          </m:e>
        </m:d>
        <m:r>
          <w:rPr>
            <w:rFonts w:ascii="Cambria Math" w:hAnsi="Cambria Math"/>
          </w:rPr>
          <m:t>.</m:t>
        </m:r>
      </m:oMath>
      <w:r>
        <w:t xml:space="preserve"> Os comprimentos dos três lados deste triângulo (lado A entre as orelhas, B entre N e O2, e C entre N e O1) são calculados usando a fórmula da distância Euclidiana:</w:t>
      </w:r>
    </w:p>
    <w:p w14:paraId="078ACBD2" w14:textId="77777777" w:rsidR="00D031D3" w:rsidRDefault="00D031D3" w:rsidP="00D031D3"/>
    <w:p w14:paraId="72B9F63A" w14:textId="6D81AEF9" w:rsidR="00D031D3" w:rsidRDefault="00D031D3" w:rsidP="00D031D3">
      <m:oMathPara>
        <m:oMath>
          <m:r>
            <w:rPr>
              <w:rFonts w:ascii="Cambria Math" w:hAnsi="Cambria Math"/>
            </w:rPr>
            <m:t xml:space="preserve">d =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x2 - x1</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y2 - y1</m:t>
                      </m:r>
                    </m:e>
                  </m:d>
                </m:e>
                <m:sup>
                  <m:r>
                    <w:rPr>
                      <w:rFonts w:ascii="Cambria Math" w:hAnsi="Cambria Math"/>
                    </w:rPr>
                    <m:t>2</m:t>
                  </m:r>
                </m:sup>
              </m:sSup>
            </m:e>
          </m:rad>
        </m:oMath>
      </m:oMathPara>
    </w:p>
    <w:p w14:paraId="6327FF16" w14:textId="77777777" w:rsidR="00D031D3" w:rsidRDefault="00D031D3" w:rsidP="00D031D3"/>
    <w:p w14:paraId="1071DE1D" w14:textId="7F93C91B" w:rsidR="00D031D3" w:rsidRDefault="00D031D3" w:rsidP="00D031D3">
      <w:r>
        <w:lastRenderedPageBreak/>
        <w:t>A área (</w:t>
      </w:r>
      <m:oMath>
        <m:r>
          <w:rPr>
            <w:rFonts w:ascii="Cambria Math" w:hAnsi="Cambria Math"/>
          </w:rPr>
          <m:t>A</m:t>
        </m:r>
      </m:oMath>
      <w:r>
        <w:t xml:space="preserve">) deste triângulo é então calculada usando a fórmula de Heron. Esta área serve como uma métrica de validação da postura da cabeça (por exemplo, para filtrar quadros onde a detecção da pose falhou ou a cabeça está obscurecida). O cálculo requer o semi-perímetro </w:t>
      </w:r>
      <m:oMath>
        <m:r>
          <w:rPr>
            <w:rFonts w:ascii="Cambria Math" w:hAnsi="Cambria Math"/>
          </w:rPr>
          <m:t>s =</m:t>
        </m:r>
        <m:f>
          <m:fPr>
            <m:ctrlPr>
              <w:rPr>
                <w:rFonts w:ascii="Cambria Math" w:hAnsi="Cambria Math"/>
                <w:i/>
              </w:rPr>
            </m:ctrlPr>
          </m:fPr>
          <m:num>
            <m:d>
              <m:dPr>
                <m:ctrlPr>
                  <w:rPr>
                    <w:rFonts w:ascii="Cambria Math" w:hAnsi="Cambria Math"/>
                    <w:i/>
                  </w:rPr>
                </m:ctrlPr>
              </m:dPr>
              <m:e>
                <m:r>
                  <w:rPr>
                    <w:rFonts w:ascii="Cambria Math" w:hAnsi="Cambria Math"/>
                  </w:rPr>
                  <m:t>a + b + c</m:t>
                </m:r>
              </m:e>
            </m:d>
          </m:num>
          <m:den>
            <m:r>
              <w:rPr>
                <w:rFonts w:ascii="Cambria Math" w:hAnsi="Cambria Math"/>
              </w:rPr>
              <m:t>2</m:t>
            </m:r>
          </m:den>
        </m:f>
      </m:oMath>
      <w:r>
        <w:t>, sendo a área definida como:</w:t>
      </w:r>
    </w:p>
    <w:p w14:paraId="7B62C052" w14:textId="77777777" w:rsidR="00D031D3" w:rsidRDefault="00D031D3" w:rsidP="00D031D3"/>
    <w:p w14:paraId="1678F610" w14:textId="689F9A9D" w:rsidR="00D031D3" w:rsidRDefault="00D031D3" w:rsidP="00D031D3">
      <m:oMathPara>
        <m:oMath>
          <m:r>
            <w:rPr>
              <w:rFonts w:ascii="Cambria Math" w:hAnsi="Cambria Math"/>
            </w:rPr>
            <m:t xml:space="preserve">A = </m:t>
          </m:r>
          <m:rad>
            <m:radPr>
              <m:degHide m:val="1"/>
              <m:ctrlPr>
                <w:rPr>
                  <w:rFonts w:ascii="Cambria Math" w:hAnsi="Cambria Math"/>
                  <w:i/>
                </w:rPr>
              </m:ctrlPr>
            </m:radPr>
            <m:deg/>
            <m:e>
              <m:r>
                <w:rPr>
                  <w:rFonts w:ascii="Cambria Math" w:hAnsi="Cambria Math"/>
                </w:rPr>
                <m:t xml:space="preserve">s * </m:t>
              </m:r>
              <m:d>
                <m:dPr>
                  <m:ctrlPr>
                    <w:rPr>
                      <w:rFonts w:ascii="Cambria Math" w:hAnsi="Cambria Math"/>
                      <w:i/>
                    </w:rPr>
                  </m:ctrlPr>
                </m:dPr>
                <m:e>
                  <m:r>
                    <w:rPr>
                      <w:rFonts w:ascii="Cambria Math" w:hAnsi="Cambria Math"/>
                    </w:rPr>
                    <m:t>s - a</m:t>
                  </m:r>
                </m:e>
              </m:d>
              <m:r>
                <w:rPr>
                  <w:rFonts w:ascii="Cambria Math" w:hAnsi="Cambria Math"/>
                </w:rPr>
                <m:t xml:space="preserve">* </m:t>
              </m:r>
              <m:d>
                <m:dPr>
                  <m:ctrlPr>
                    <w:rPr>
                      <w:rFonts w:ascii="Cambria Math" w:hAnsi="Cambria Math"/>
                      <w:i/>
                    </w:rPr>
                  </m:ctrlPr>
                </m:dPr>
                <m:e>
                  <m:r>
                    <w:rPr>
                      <w:rFonts w:ascii="Cambria Math" w:hAnsi="Cambria Math"/>
                    </w:rPr>
                    <m:t>s - b</m:t>
                  </m:r>
                </m:e>
              </m:d>
              <m:r>
                <w:rPr>
                  <w:rFonts w:ascii="Cambria Math" w:hAnsi="Cambria Math"/>
                </w:rPr>
                <m:t xml:space="preserve">* </m:t>
              </m:r>
              <m:d>
                <m:dPr>
                  <m:ctrlPr>
                    <w:rPr>
                      <w:rFonts w:ascii="Cambria Math" w:hAnsi="Cambria Math"/>
                      <w:i/>
                    </w:rPr>
                  </m:ctrlPr>
                </m:dPr>
                <m:e>
                  <m:r>
                    <w:rPr>
                      <w:rFonts w:ascii="Cambria Math" w:hAnsi="Cambria Math"/>
                    </w:rPr>
                    <m:t>s - c</m:t>
                  </m:r>
                </m:e>
              </m:d>
            </m:e>
          </m:rad>
        </m:oMath>
      </m:oMathPara>
    </w:p>
    <w:p w14:paraId="3984896C" w14:textId="77777777" w:rsidR="00D031D3" w:rsidRDefault="00D031D3" w:rsidP="00D031D3"/>
    <w:p w14:paraId="7BADF183" w14:textId="759810E4" w:rsidR="00D031D3" w:rsidRDefault="008D187E" w:rsidP="00351C49">
      <w:pPr>
        <w:pStyle w:val="Heading3"/>
      </w:pPr>
      <w:r>
        <w:rPr>
          <w:caps w:val="0"/>
        </w:rPr>
        <w:t>CÁLCULO DO LIMIAR (VETOR DE INVESTIGAÇÃO)</w:t>
      </w:r>
    </w:p>
    <w:p w14:paraId="077346E1" w14:textId="25281FEE" w:rsidR="00351C49" w:rsidRDefault="00D031D3" w:rsidP="00D031D3">
      <w:pPr>
        <w:ind w:firstLine="720"/>
      </w:pPr>
      <w:r>
        <w:t xml:space="preserve">Para estabelecer o limiar de exploração, o algoritmo define um vetor de direção da cabeça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direção</m:t>
                </m:r>
              </m:sub>
            </m:sSub>
          </m:e>
        </m:d>
        <m:r>
          <w:rPr>
            <w:rFonts w:ascii="Cambria Math" w:hAnsi="Cambria Math"/>
          </w:rPr>
          <m:t xml:space="preserve">. </m:t>
        </m:r>
      </m:oMath>
      <w:r>
        <w:t>Este vetor é computado como a linha perpendicular ao segmento de reta que conecta as duas orelhas (</w:t>
      </w:r>
      <m:oMath>
        <m:sSub>
          <m:sSubPr>
            <m:ctrlPr>
              <w:rPr>
                <w:rFonts w:ascii="Cambria Math" w:hAnsi="Cambria Math"/>
                <w:i/>
              </w:rPr>
            </m:ctrlPr>
          </m:sSubPr>
          <m:e>
            <m:r>
              <w:rPr>
                <w:rFonts w:ascii="Cambria Math" w:hAnsi="Cambria Math"/>
              </w:rPr>
              <m:t>L</m:t>
            </m:r>
          </m:e>
          <m:sub>
            <m:r>
              <w:rPr>
                <w:rFonts w:ascii="Cambria Math" w:hAnsi="Cambria Math"/>
              </w:rPr>
              <m:t>orelhas</m:t>
            </m:r>
          </m:sub>
        </m:sSub>
      </m:oMath>
      <w:r>
        <w:t>) e que passa pelo ponto N (</w:t>
      </w:r>
      <m:oMath>
        <m:r>
          <w:rPr>
            <w:rFonts w:ascii="Cambria Math" w:hAnsi="Cambria Math"/>
          </w:rPr>
          <m:t>Nariz</m:t>
        </m:r>
      </m:oMath>
      <w:r>
        <w:t xml:space="preserve">). Dada a inclinação da linha das orelhas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orelhas</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yo2 – yo1</m:t>
                    </m:r>
                  </m:e>
                </m:d>
              </m:num>
              <m:den>
                <m:d>
                  <m:dPr>
                    <m:ctrlPr>
                      <w:rPr>
                        <w:rFonts w:ascii="Cambria Math" w:eastAsiaTheme="minorEastAsia" w:hAnsi="Cambria Math"/>
                        <w:i/>
                      </w:rPr>
                    </m:ctrlPr>
                  </m:dPr>
                  <m:e>
                    <m:r>
                      <w:rPr>
                        <w:rFonts w:ascii="Cambria Math" w:eastAsiaTheme="minorEastAsia" w:hAnsi="Cambria Math"/>
                      </w:rPr>
                      <m:t>xo2 – xo1</m:t>
                    </m:r>
                  </m:e>
                </m:d>
              </m:den>
            </m:f>
          </m:e>
        </m:d>
      </m:oMath>
      <w:r w:rsidR="00351C49">
        <w:rPr>
          <w:rFonts w:eastAsiaTheme="minorEastAsia"/>
        </w:rPr>
        <w:t xml:space="preserve"> </w:t>
      </w:r>
      <w:r>
        <w:t xml:space="preserve"> a inclinação da linha de investigação é </w:t>
      </w:r>
      <m:oMath>
        <m:sSub>
          <m:sSubPr>
            <m:ctrlPr>
              <w:rPr>
                <w:rFonts w:ascii="Cambria Math" w:hAnsi="Cambria Math"/>
                <w:i/>
              </w:rPr>
            </m:ctrlPr>
          </m:sSubPr>
          <m:e>
            <m:r>
              <w:rPr>
                <w:rFonts w:ascii="Cambria Math" w:hAnsi="Cambria Math"/>
              </w:rPr>
              <m:t>m</m:t>
            </m:r>
          </m:e>
          <m:sub>
            <m:r>
              <w:rPr>
                <w:rFonts w:ascii="Cambria Math" w:hAnsi="Cambria Math"/>
              </w:rPr>
              <m:t>investigação</m:t>
            </m:r>
          </m:sub>
        </m:sSub>
        <m:r>
          <w:rPr>
            <w:rFonts w:ascii="Cambria Math" w:hAnsi="Cambria Math"/>
          </w:rPr>
          <m:t>=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orelhas</m:t>
                </m:r>
              </m:sub>
            </m:sSub>
          </m:den>
        </m:f>
      </m:oMath>
    </w:p>
    <w:p w14:paraId="3395BB9D" w14:textId="1F7C87D2" w:rsidR="00D031D3" w:rsidRDefault="00D031D3" w:rsidP="00D031D3">
      <w:pPr>
        <w:ind w:firstLine="720"/>
      </w:pPr>
      <w:r>
        <w:t>Este vetor é então estendido à frente do nariz por uma distância pré-determinada (em pixels), criando um segmento de reta que representa o "focinho" virtual do animal. Este segmento de reta (o "limiar") é a geometria exata usada para testar colisões com as Regiões de Interesse (ROIs) que definem os estímulos sociais.</w:t>
      </w:r>
    </w:p>
    <w:p w14:paraId="5FA41A89" w14:textId="77777777" w:rsidR="00D031D3" w:rsidRDefault="00D031D3" w:rsidP="00D031D3"/>
    <w:p w14:paraId="3FA89970" w14:textId="03B034B1" w:rsidR="00D031D3" w:rsidRDefault="008D187E" w:rsidP="00351C49">
      <w:pPr>
        <w:pStyle w:val="Heading3"/>
      </w:pPr>
      <w:r>
        <w:rPr>
          <w:caps w:val="0"/>
        </w:rPr>
        <w:t>DETECÇÃO DE COLISÕES (QUANTIFICAÇÃO DA INVESTIGAÇÃO)</w:t>
      </w:r>
    </w:p>
    <w:p w14:paraId="2FAD6183" w14:textId="77777777" w:rsidR="006057BE" w:rsidRPr="006057BE" w:rsidRDefault="006057BE" w:rsidP="006057BE"/>
    <w:p w14:paraId="6FD9F9DA" w14:textId="05D4DD5F" w:rsidR="00D031D3" w:rsidRDefault="00D031D3" w:rsidP="00351C49">
      <w:pPr>
        <w:ind w:firstLine="720"/>
      </w:pPr>
      <w:r>
        <w:t>A investigação social é quantificada, quadro a quadro, pela detecção de colisões entre o "limiar" (o segmento de reta que representa o focinho) e as ROIs (tratadas como circunferências). Para cada ROI, definida por um centro (</w:t>
      </w:r>
      <m:oMath>
        <m:r>
          <w:rPr>
            <w:rFonts w:ascii="Cambria Math" w:hAnsi="Cambria Math"/>
          </w:rPr>
          <m:t>xc, yc</m:t>
        </m:r>
      </m:oMath>
      <w:r>
        <w:t xml:space="preserve">) e um raio </w:t>
      </w:r>
      <m:oMath>
        <m:r>
          <w:rPr>
            <w:rFonts w:ascii="Cambria Math" w:hAnsi="Cambria Math"/>
          </w:rPr>
          <m:t>r</m:t>
        </m:r>
      </m:oMath>
      <w:r>
        <w:t>, o algoritmo resolve a interseção entre o segmento de reta do limiar e a equação da circunferência:</w:t>
      </w:r>
    </w:p>
    <w:p w14:paraId="523D4008" w14:textId="77777777" w:rsidR="00351C49" w:rsidRDefault="00351C49" w:rsidP="00351C49">
      <w:pPr>
        <w:ind w:firstLine="720"/>
      </w:pPr>
    </w:p>
    <w:p w14:paraId="45DB5426" w14:textId="51FACB8E" w:rsidR="00D031D3" w:rsidRDefault="00000000" w:rsidP="00D031D3">
      <m:oMathPara>
        <m:oMath>
          <m:sSup>
            <m:sSupPr>
              <m:ctrlPr>
                <w:rPr>
                  <w:rFonts w:ascii="Cambria Math" w:hAnsi="Cambria Math"/>
                  <w:i/>
                </w:rPr>
              </m:ctrlPr>
            </m:sSupPr>
            <m:e>
              <m:d>
                <m:dPr>
                  <m:ctrlPr>
                    <w:rPr>
                      <w:rFonts w:ascii="Cambria Math" w:hAnsi="Cambria Math"/>
                      <w:i/>
                    </w:rPr>
                  </m:ctrlPr>
                </m:dPr>
                <m:e>
                  <m:r>
                    <w:rPr>
                      <w:rFonts w:ascii="Cambria Math" w:hAnsi="Cambria Math"/>
                    </w:rPr>
                    <m:t>x - xc</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 - yc</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E96F63E" w14:textId="77777777" w:rsidR="00351C49" w:rsidRDefault="00351C49" w:rsidP="00D031D3">
      <w:pPr>
        <w:ind w:firstLine="720"/>
      </w:pPr>
    </w:p>
    <w:p w14:paraId="5DBBF7F7" w14:textId="2B6CB4F0" w:rsidR="0006726C" w:rsidRDefault="00D031D3" w:rsidP="00351C49">
      <w:pPr>
        <w:ind w:firstLine="720"/>
      </w:pPr>
      <w:r>
        <w:t>Ao substituir a equação da reta (</w:t>
      </w:r>
      <m:oMath>
        <m:r>
          <w:rPr>
            <w:rFonts w:ascii="Cambria Math" w:hAnsi="Cambria Math"/>
          </w:rPr>
          <m:t>y = mx + b</m:t>
        </m:r>
      </m:oMath>
      <w:r>
        <w:t xml:space="preserve">) na equação da circunferência, obtém-se uma equação quadrática da forma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Bx + C = 0</m:t>
        </m:r>
      </m:oMath>
      <w:r>
        <w:t xml:space="preserve">. A existência de uma </w:t>
      </w:r>
      <w:r>
        <w:lastRenderedPageBreak/>
        <w:t xml:space="preserve">interseção real é determinada pelo discriminante </w:t>
      </w:r>
      <m:oMath>
        <m:d>
          <m:dPr>
            <m:ctrlPr>
              <w:rPr>
                <w:rFonts w:ascii="Cambria Math" w:hAnsi="Cambria Math"/>
                <w:i/>
              </w:rPr>
            </m:ctrlPr>
          </m:dPr>
          <m:e>
            <m:r>
              <w:rPr>
                <w:rFonts w:ascii="Cambria Math" w:hAnsi="Cambria Math"/>
              </w:rPr>
              <m:t xml:space="preserve">Delta =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4AC</m:t>
            </m:r>
          </m:e>
        </m:d>
        <m:r>
          <w:rPr>
            <w:rFonts w:ascii="Cambria Math" w:hAnsi="Cambria Math"/>
          </w:rPr>
          <m:t>.  Se Delta &gt;= 0</m:t>
        </m:r>
      </m:oMath>
      <w:r>
        <w:t>, uma colisão é detectada, e o quadro é rotulado como "investigação". O tempo total de investigação é a soma desses quadros multiplicada pelo inverso da taxa de quadros (ex: 33,3 ms para 30 fps).</w:t>
      </w:r>
      <w:r w:rsidR="00351C49">
        <w:t xml:space="preserve"> </w:t>
      </w:r>
      <w:r w:rsidR="0006726C">
        <w:t xml:space="preserve">Cada frame do vídeo é analisado para avaliar se há uma colisão entre o nariz e alguma ROI. </w:t>
      </w:r>
    </w:p>
    <w:p w14:paraId="7CA5E0F3" w14:textId="77777777" w:rsidR="00351C49" w:rsidRDefault="00351C49" w:rsidP="00351C49"/>
    <w:p w14:paraId="28A2F766" w14:textId="0F58FB88" w:rsidR="00351C49" w:rsidRDefault="008D187E" w:rsidP="00351C49">
      <w:pPr>
        <w:pStyle w:val="Heading3"/>
      </w:pPr>
      <w:r>
        <w:rPr>
          <w:caps w:val="0"/>
        </w:rPr>
        <w:t>ANÁLISE DE ATIVIDADE LOCOMOTORA</w:t>
      </w:r>
    </w:p>
    <w:p w14:paraId="0EF9D056" w14:textId="77777777" w:rsidR="00351C49" w:rsidRDefault="00351C49" w:rsidP="00351C49"/>
    <w:p w14:paraId="20BA2346" w14:textId="2844C2DD" w:rsidR="00351C49" w:rsidRDefault="00351C49" w:rsidP="006057BE">
      <w:pPr>
        <w:ind w:firstLine="720"/>
      </w:pPr>
      <w:r>
        <w:t>O tempo total de movimentação e o tempo total parado são calculados a partir das coordenadas do ponto central do animal (</w:t>
      </w:r>
      <m:oMath>
        <m:r>
          <w:rPr>
            <w:rFonts w:ascii="Cambria Math" w:hAnsi="Cambria Math"/>
          </w:rPr>
          <m:t>C=</m:t>
        </m:r>
        <m:d>
          <m:dPr>
            <m:ctrlPr>
              <w:rPr>
                <w:rFonts w:ascii="Cambria Math" w:hAnsi="Cambria Math"/>
                <w:i/>
              </w:rPr>
            </m:ctrlPr>
          </m:dPr>
          <m:e>
            <m:r>
              <w:rPr>
                <w:rFonts w:ascii="Cambria Math" w:hAnsi="Cambria Math"/>
              </w:rPr>
              <m:t>x,y</m:t>
            </m:r>
          </m:e>
        </m:d>
      </m:oMath>
      <w:r>
        <w:t>), registradas ao longo do experimento. O primeiro passo é computar o deslocamento instantâneo (</w:t>
      </w:r>
      <m:oMath>
        <m:r>
          <w:rPr>
            <w:rFonts w:ascii="Cambria Math" w:hAnsi="Cambria Math"/>
          </w:rPr>
          <m:t>dt</m:t>
        </m:r>
      </m:oMath>
      <w:r>
        <w:t xml:space="preserve">​), ou seja, a distância percorrida entre quadros consecutivos. Para um quadro </w:t>
      </w:r>
      <m:oMath>
        <m:r>
          <w:rPr>
            <w:rFonts w:ascii="Cambria Math" w:hAnsi="Cambria Math"/>
          </w:rPr>
          <m:t>t</m:t>
        </m:r>
      </m:oMath>
      <w:r>
        <w:t xml:space="preserve">, o deslocamento </w:t>
      </w:r>
      <m:oMath>
        <m:r>
          <w:rPr>
            <w:rFonts w:ascii="Cambria Math" w:hAnsi="Cambria Math"/>
          </w:rPr>
          <m:t>dt</m:t>
        </m:r>
      </m:oMath>
      <w:r>
        <w:t>​ é a distância Euclidiana entre o centro no quadro atual (</w:t>
      </w:r>
      <m:oMath>
        <m:r>
          <w:rPr>
            <w:rFonts w:ascii="Cambria Math" w:hAnsi="Cambria Math"/>
          </w:rPr>
          <m:t>Ct</m:t>
        </m:r>
      </m:oMath>
      <w:r>
        <w:t>​) e no quadro anterior (</w:t>
      </w:r>
      <m:oMath>
        <m:r>
          <w:rPr>
            <w:rFonts w:ascii="Cambria Math" w:hAnsi="Cambria Math"/>
          </w:rPr>
          <m:t>Ct-1</m:t>
        </m:r>
      </m:oMath>
      <w:r>
        <w:t>):</w:t>
      </w:r>
    </w:p>
    <w:p w14:paraId="1FE7F878" w14:textId="77777777" w:rsidR="00351C49" w:rsidRDefault="00351C49" w:rsidP="00351C49"/>
    <w:p w14:paraId="2133C460" w14:textId="3876250F" w:rsidR="00351C49" w:rsidRDefault="00000000" w:rsidP="00351C49">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e>
                <m:sup>
                  <m:r>
                    <w:rPr>
                      <w:rFonts w:ascii="Cambria Math" w:hAnsi="Cambria Math"/>
                    </w:rPr>
                    <m:t>2</m:t>
                  </m:r>
                </m:sup>
              </m:sSup>
            </m:e>
          </m:rad>
        </m:oMath>
      </m:oMathPara>
    </w:p>
    <w:p w14:paraId="5A0153DE" w14:textId="77777777" w:rsidR="00351C49" w:rsidRDefault="00351C49" w:rsidP="00351C49"/>
    <w:p w14:paraId="64D0E7A6" w14:textId="31763F02" w:rsidR="00351C49" w:rsidRDefault="00351C49" w:rsidP="00351C49">
      <w:pPr>
        <w:ind w:firstLine="720"/>
      </w:pPr>
      <w:r>
        <w:t>Esse deslocamento, medido em pixels, é então convertido para centímetros (cm) usando uma taxa de calibração (pixels/cm) pré-definida. Para excluir artefatos de movimento (ex: pequenas vibrações da câmera ou do animal) que poderiam ser contados como locomoção real, um limiar de movimento (</w:t>
      </w:r>
      <m:oMath>
        <m:r>
          <w:rPr>
            <w:rFonts w:ascii="Cambria Math" w:hAnsi="Cambria Math"/>
          </w:rPr>
          <m:t>Tmov</m:t>
        </m:r>
      </m:oMath>
      <w:r>
        <w:t>​) é aplicado. Um quadro é classificado como "em movimento" apenas se o deslocamento exceder 0,0267 cm/frame (equivalente a ≈ 0,8 cm/s em um vídeo de 30 fps).</w:t>
      </w:r>
    </w:p>
    <w:p w14:paraId="52571009" w14:textId="421EBD4D" w:rsidR="00351C49" w:rsidRDefault="00351C49" w:rsidP="006057BE">
      <w:pPr>
        <w:ind w:firstLine="720"/>
      </w:pPr>
      <w:r>
        <w:t>A partir dessa classificação quadro-a-quadro, as métricas cumulativas são calculadas. A Distância Total Percorrida (cm) é determinada pelo deslocamento acumulado, ou seja, a soma de todos os deslocamentos instantâneos (</w:t>
      </w:r>
      <m:oMath>
        <m:r>
          <w:rPr>
            <w:rFonts w:ascii="Cambria Math" w:hAnsi="Cambria Math"/>
          </w:rPr>
          <m:t>dt</m:t>
        </m:r>
      </m:oMath>
      <w:r>
        <w:t xml:space="preserve">​) convertidos para cm ao longo da sessão inteira: </w:t>
      </w:r>
      <m:oMath>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Total</m:t>
            </m:r>
          </m:sub>
        </m:sSub>
        <m:r>
          <w:rPr>
            <w:rFonts w:ascii="Cambria Math" w:hAnsi="Cambria Math"/>
          </w:rPr>
          <m:t>= soma</m:t>
        </m:r>
        <m:d>
          <m:dPr>
            <m:ctrlPr>
              <w:rPr>
                <w:rFonts w:ascii="Cambria Math" w:hAnsi="Cambria Math"/>
                <w:i/>
              </w:rPr>
            </m:ctrlPr>
          </m:dPr>
          <m:e>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cm</m:t>
                    </m:r>
                  </m:sub>
                </m:sSub>
              </m:sub>
            </m:sSub>
          </m:e>
        </m:d>
        <m:r>
          <w:rPr>
            <w:rFonts w:ascii="Cambria Math" w:hAnsi="Cambria Math"/>
          </w:rPr>
          <m:t>.</m:t>
        </m:r>
      </m:oMath>
      <w:r>
        <w:t xml:space="preserve"> O </w:t>
      </w:r>
      <m:oMath>
        <m:r>
          <w:rPr>
            <w:rFonts w:ascii="Cambria Math" w:hAnsi="Cambria Math"/>
          </w:rPr>
          <m:t>Tempo Total de</m:t>
        </m:r>
      </m:oMath>
      <w:r>
        <w:t xml:space="preserve"> </w:t>
      </w:r>
      <m:oMath>
        <m:r>
          <w:rPr>
            <w:rFonts w:ascii="Cambria Math" w:hAnsi="Cambria Math"/>
          </w:rPr>
          <m:t xml:space="preserve">Movimentação </m:t>
        </m:r>
        <m:d>
          <m:dPr>
            <m:ctrlPr>
              <w:rPr>
                <w:rFonts w:ascii="Cambria Math" w:hAnsi="Cambria Math"/>
                <w:i/>
              </w:rPr>
            </m:ctrlPr>
          </m:dPr>
          <m:e>
            <m:r>
              <w:rPr>
                <w:rFonts w:ascii="Cambria Math" w:hAnsi="Cambria Math"/>
              </w:rPr>
              <m:t>s</m:t>
            </m:r>
          </m:e>
        </m:d>
      </m:oMath>
      <w:r>
        <w:t xml:space="preserve"> é a contagem de todos os quadros classificados como "em movimento" multiplicada pelo tempo por quadro (ex: </w:t>
      </w:r>
      <m:oMath>
        <m:f>
          <m:fPr>
            <m:ctrlPr>
              <w:rPr>
                <w:rFonts w:ascii="Cambria Math" w:hAnsi="Cambria Math"/>
                <w:i/>
              </w:rPr>
            </m:ctrlPr>
          </m:fPr>
          <m:num>
            <m:r>
              <w:rPr>
                <w:rFonts w:ascii="Cambria Math" w:hAnsi="Cambria Math"/>
              </w:rPr>
              <m:t>1</m:t>
            </m:r>
          </m:num>
          <m:den>
            <m:r>
              <w:rPr>
                <w:rFonts w:ascii="Cambria Math" w:hAnsi="Cambria Math"/>
              </w:rPr>
              <m:t>30s</m:t>
            </m:r>
          </m:den>
        </m:f>
      </m:oMath>
      <w:r>
        <w:t xml:space="preserve">). Similarmente, o </w:t>
      </w:r>
      <m:oMath>
        <m:r>
          <w:rPr>
            <w:rFonts w:ascii="Cambria Math" w:hAnsi="Cambria Math"/>
          </w:rPr>
          <m:t xml:space="preserve">Tempo Total Parado </m:t>
        </m:r>
        <m:d>
          <m:dPr>
            <m:ctrlPr>
              <w:rPr>
                <w:rFonts w:ascii="Cambria Math" w:hAnsi="Cambria Math"/>
                <w:i/>
              </w:rPr>
            </m:ctrlPr>
          </m:dPr>
          <m:e>
            <m:r>
              <w:rPr>
                <w:rFonts w:ascii="Cambria Math" w:hAnsi="Cambria Math"/>
              </w:rPr>
              <m:t>s</m:t>
            </m:r>
          </m:e>
        </m:d>
      </m:oMath>
      <w:r>
        <w:t xml:space="preserve">é a soma dos quadros onde </w:t>
      </w:r>
      <m:oMath>
        <m:r>
          <w:rPr>
            <w:rFonts w:ascii="Cambria Math" w:hAnsi="Cambria Math"/>
          </w:rPr>
          <m:t>dt</m:t>
        </m:r>
      </m:oMath>
      <w:r>
        <w:t xml:space="preserve">​ foi igual ou inferior ao limiar </w:t>
      </w:r>
      <m:oMath>
        <m:r>
          <w:rPr>
            <w:rFonts w:ascii="Cambria Math" w:hAnsi="Cambria Math"/>
          </w:rPr>
          <m:t>Tmov</m:t>
        </m:r>
      </m:oMath>
      <w:r>
        <w:t>, multiplicada pelo tempo por quadro.</w:t>
      </w:r>
    </w:p>
    <w:p w14:paraId="710F1371" w14:textId="4FDEF49A" w:rsidR="00351C49" w:rsidRDefault="00351C49" w:rsidP="006057BE">
      <w:pPr>
        <w:ind w:firstLine="720"/>
      </w:pPr>
      <w:r>
        <w:lastRenderedPageBreak/>
        <w:t>Por fim, a velocidade média é calculada. Primeiro, a velocidade instantânea (</w:t>
      </w:r>
      <m:oMath>
        <m:r>
          <w:rPr>
            <w:rFonts w:ascii="Cambria Math" w:hAnsi="Cambria Math"/>
          </w:rPr>
          <m:t>vt</m:t>
        </m:r>
      </m:oMath>
      <w:r>
        <w:t>​) é determinada para cada quadro, dividindo-se o deslocamento (em cm) pelo tempo transcorrido por quadro (</w:t>
      </w:r>
      <m:oMath>
        <m:r>
          <w:rPr>
            <w:rFonts w:ascii="Cambria Math" w:hAnsi="Cambria Math"/>
          </w:rPr>
          <m:t>Δt, ex: 0,0333s</m:t>
        </m:r>
      </m:oMath>
      <w:r>
        <w:t>):</w:t>
      </w:r>
    </w:p>
    <w:p w14:paraId="6A69BEA6" w14:textId="77777777" w:rsidR="00351C49" w:rsidRDefault="00351C49" w:rsidP="00351C49"/>
    <w:p w14:paraId="75C3D605" w14:textId="0B575C9B" w:rsidR="00351C49" w:rsidRDefault="00000000" w:rsidP="00351C49">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cm</m:t>
                      </m:r>
                    </m:sub>
                  </m:sSub>
                </m:sub>
              </m:sSub>
            </m:num>
            <m:den>
              <m:r>
                <w:rPr>
                  <w:rFonts w:ascii="Cambria Math" w:hAnsi="Cambria Math"/>
                </w:rPr>
                <m:t>Δt</m:t>
              </m:r>
            </m:den>
          </m:f>
        </m:oMath>
      </m:oMathPara>
    </w:p>
    <w:p w14:paraId="74F67759" w14:textId="77777777" w:rsidR="00351C49" w:rsidRDefault="00351C49" w:rsidP="00351C49"/>
    <w:p w14:paraId="2E4D8326" w14:textId="197CD601" w:rsidR="00351C49" w:rsidRDefault="00351C49" w:rsidP="00E83B86">
      <w:pPr>
        <w:ind w:firstLine="720"/>
      </w:pPr>
      <w:r>
        <w:t xml:space="preserve">A Velocidade Média (cm/s) do animal durante todo o experimento é então calculada como a média aritmética de todas as velocidades instantâneas registradas: </w:t>
      </w:r>
      <m:oMath>
        <m:sSub>
          <m:sSubPr>
            <m:ctrlPr>
              <w:rPr>
                <w:rFonts w:ascii="Cambria Math" w:hAnsi="Cambria Math"/>
                <w:i/>
              </w:rPr>
            </m:ctrlPr>
          </m:sSubPr>
          <m:e>
            <m:r>
              <w:rPr>
                <w:rFonts w:ascii="Cambria Math" w:hAnsi="Cambria Math"/>
              </w:rPr>
              <m:t>V</m:t>
            </m:r>
          </m:e>
          <m:sub>
            <m:r>
              <w:rPr>
                <w:rFonts w:ascii="Cambria Math" w:hAnsi="Cambria Math"/>
              </w:rPr>
              <m:t>media</m:t>
            </m:r>
          </m:sub>
        </m:sSub>
        <m:r>
          <w:rPr>
            <w:rFonts w:ascii="Cambria Math" w:hAnsi="Cambria Math"/>
          </w:rPr>
          <m:t>=</m:t>
        </m:r>
        <m:f>
          <m:fPr>
            <m:ctrlPr>
              <w:rPr>
                <w:rFonts w:ascii="Cambria Math" w:hAnsi="Cambria Math"/>
                <w:i/>
              </w:rPr>
            </m:ctrlPr>
          </m:fPr>
          <m:num>
            <m:r>
              <w:rPr>
                <w:rFonts w:ascii="Cambria Math" w:hAnsi="Cambria Math"/>
              </w:rPr>
              <m:t>soma</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e>
            </m:d>
          </m:num>
          <m:den>
            <m:sSub>
              <m:sSubPr>
                <m:ctrlPr>
                  <w:rPr>
                    <w:rFonts w:ascii="Cambria Math" w:hAnsi="Cambria Math"/>
                    <w:i/>
                  </w:rPr>
                </m:ctrlPr>
              </m:sSubPr>
              <m:e>
                <m:r>
                  <w:rPr>
                    <w:rFonts w:ascii="Cambria Math" w:hAnsi="Cambria Math"/>
                  </w:rPr>
                  <m:t>N</m:t>
                </m:r>
              </m:e>
              <m:sub>
                <m:r>
                  <w:rPr>
                    <w:rFonts w:ascii="Cambria Math" w:hAnsi="Cambria Math"/>
                  </w:rPr>
                  <m:t>quadro</m:t>
                </m:r>
                <m:sSub>
                  <m:sSubPr>
                    <m:ctrlPr>
                      <w:rPr>
                        <w:rFonts w:ascii="Cambria Math" w:hAnsi="Cambria Math"/>
                        <w:i/>
                      </w:rPr>
                    </m:ctrlPr>
                  </m:sSubPr>
                  <m:e>
                    <m:r>
                      <w:rPr>
                        <w:rFonts w:ascii="Cambria Math" w:hAnsi="Cambria Math"/>
                      </w:rPr>
                      <m:t>s</m:t>
                    </m:r>
                  </m:e>
                  <m:sub>
                    <m:r>
                      <w:rPr>
                        <w:rFonts w:ascii="Cambria Math" w:hAnsi="Cambria Math"/>
                      </w:rPr>
                      <m:t>totais</m:t>
                    </m:r>
                  </m:sub>
                </m:sSub>
              </m:sub>
            </m:sSub>
          </m:den>
        </m:f>
        <m:r>
          <w:rPr>
            <w:rFonts w:ascii="Cambria Math" w:hAnsi="Cambria Math"/>
          </w:rPr>
          <m:t>.</m:t>
        </m:r>
      </m:oMath>
    </w:p>
    <w:p w14:paraId="6EAD1F58" w14:textId="77777777" w:rsidR="00351C49" w:rsidRDefault="00351C49" w:rsidP="00351C49"/>
    <w:p w14:paraId="322195E2" w14:textId="02986B4F" w:rsidR="0006726C" w:rsidRDefault="00351C49" w:rsidP="006057BE">
      <w:pPr>
        <w:ind w:firstLine="720"/>
      </w:pPr>
      <w:r>
        <w:t>Essas métricas são então utilizadas para a análise da investigação social e comportamento geral do animal durante a tarefa.</w:t>
      </w:r>
    </w:p>
    <w:p w14:paraId="3643C6F3" w14:textId="3090E7F0" w:rsidR="0006726C" w:rsidRDefault="0006726C" w:rsidP="0006726C">
      <w:r>
        <w:tab/>
      </w:r>
    </w:p>
    <w:p w14:paraId="27967B8D" w14:textId="77777777" w:rsidR="0006726C" w:rsidRPr="0006726C" w:rsidRDefault="0006726C" w:rsidP="0006726C"/>
    <w:p w14:paraId="7A35AF02" w14:textId="21B2D9AC" w:rsidR="0079009F" w:rsidRDefault="00457A3D" w:rsidP="008C05D2">
      <w:pPr>
        <w:pStyle w:val="Heading1"/>
      </w:pPr>
      <w:r>
        <w:t>RESULTADOS</w:t>
      </w:r>
    </w:p>
    <w:p w14:paraId="655562AA" w14:textId="77777777" w:rsidR="00260BB1" w:rsidRPr="00260BB1" w:rsidRDefault="00260BB1" w:rsidP="00260BB1"/>
    <w:p w14:paraId="6B93ADA7" w14:textId="161B4C4F" w:rsidR="001B2C3E" w:rsidRDefault="008D187E" w:rsidP="00351C49">
      <w:pPr>
        <w:pStyle w:val="Heading2"/>
      </w:pPr>
      <w:r w:rsidRPr="001B2C3E">
        <w:rPr>
          <w:caps w:val="0"/>
        </w:rPr>
        <w:t>OS ANIMAIS SÃO CAPAZES DE EXPRESSAR MEMÓRIA SOCIAL NO CONTEXTO A, EM AMB</w:t>
      </w:r>
      <w:r>
        <w:rPr>
          <w:caps w:val="0"/>
        </w:rPr>
        <w:t>O</w:t>
      </w:r>
      <w:r w:rsidRPr="001B2C3E">
        <w:rPr>
          <w:caps w:val="0"/>
        </w:rPr>
        <w:t xml:space="preserve">S </w:t>
      </w:r>
      <w:r>
        <w:rPr>
          <w:caps w:val="0"/>
        </w:rPr>
        <w:t>MÉTODOS</w:t>
      </w:r>
      <w:r w:rsidRPr="001B2C3E">
        <w:rPr>
          <w:caps w:val="0"/>
        </w:rPr>
        <w:t xml:space="preserve"> DE ANÁLISE</w:t>
      </w:r>
    </w:p>
    <w:p w14:paraId="3B13C8BD" w14:textId="6958373D" w:rsidR="00166C99" w:rsidRPr="00166C99" w:rsidRDefault="00166C99" w:rsidP="00166C99">
      <w:pPr>
        <w:ind w:firstLine="720"/>
      </w:pPr>
      <w:r w:rsidRPr="00166C99">
        <w:t>A capacidade de reconhecimento social dos animais no Contexto A foi avaliada por meio de d</w:t>
      </w:r>
      <w:r w:rsidR="00C96804">
        <w:t xml:space="preserve">ois métodos de análise </w:t>
      </w:r>
      <w:r w:rsidRPr="00166C99">
        <w:t xml:space="preserve">comportamentais distintas, </w:t>
      </w:r>
      <w:r w:rsidR="00C96804">
        <w:t>sendo um</w:t>
      </w:r>
      <w:r w:rsidRPr="00166C99">
        <w:t xml:space="preserve"> método manual </w:t>
      </w:r>
      <w:r w:rsidR="00C96804">
        <w:t>e outro</w:t>
      </w:r>
      <w:r w:rsidRPr="00166C99">
        <w:t xml:space="preserve"> automático (BY). Os resultados de ambas as abordagens convergem para indicar, de forma robusta, a presença de memória social. A evidência primária reside na diminuição do tempo de investigação durante a fase de teste em comparação com a fase de treino, um comportamento indicativo de reconhecimento do animal-estímulo familiar.</w:t>
      </w:r>
    </w:p>
    <w:p w14:paraId="4A122C94" w14:textId="4AAF2BEA" w:rsidR="00166C99" w:rsidRPr="00166C99" w:rsidRDefault="00166C99" w:rsidP="00166C99">
      <w:pPr>
        <w:ind w:firstLine="720"/>
      </w:pPr>
      <w:r w:rsidRPr="00166C99">
        <w:t xml:space="preserve">A análise do tempo de investigação (Gráficos C e D) revela uma redução estatisticamente significativa entre as fases. Pelo método manual, o tempo de exploração no teste foi significativamente menor que no treino (teste t pareado: t(11)=4,209; p=0,0015). Este achado foi </w:t>
      </w:r>
      <w:r w:rsidR="004E5005">
        <w:t>também encontrado quando realizado</w:t>
      </w:r>
      <w:r w:rsidRPr="00166C99">
        <w:t xml:space="preserve"> pela análise automática, que demonstrou uma diferença ainda mais pronunciada (t(11)=4,785; </w:t>
      </w:r>
      <w:r w:rsidRPr="00166C99">
        <w:lastRenderedPageBreak/>
        <w:t>p=0,0006). Esta diminuição do interesse exploratório na segunda exposição ao mesmo estímulo social é um marcador comportamental clássico para a evocação de memória de reconhecimento.</w:t>
      </w:r>
    </w:p>
    <w:p w14:paraId="7228B8E2" w14:textId="005316E1" w:rsidR="00166C99" w:rsidRPr="00166C99" w:rsidRDefault="00A62367" w:rsidP="00166C99">
      <w:pPr>
        <w:ind w:firstLine="720"/>
      </w:pPr>
      <w:r>
        <w:t xml:space="preserve">Essa diferença também é revelada quando o índice de reconhecimento social (IRS) é calculado </w:t>
      </w:r>
      <w:r w:rsidR="00166C99" w:rsidRPr="00166C99">
        <w:t xml:space="preserve">(Gráficos A e B). Em consonância com os dados de tempo de investigação, o índice médio em ambas as análises foi significativamente superior ao valor teórico de zero, que representa a </w:t>
      </w:r>
      <w:r w:rsidR="004E5005">
        <w:t>presença</w:t>
      </w:r>
      <w:r w:rsidR="00166C99" w:rsidRPr="00166C99">
        <w:t xml:space="preserve"> de memória. A análise manual resultou em um índice significativamente positivo (teste t de uma amostra: t(11)=4,374; p=0,0011), assim como a análise automática BY (t(11)=4,748; p=0,0006). Em conjunto, a convergência dos resultados obtidos por diferentes métricas e métodos de quantificação sustenta solidamente a conclusão de que os animais expressaram memória social no Contexto A.</w:t>
      </w:r>
    </w:p>
    <w:p w14:paraId="4D4C3A45" w14:textId="6DACA342" w:rsidR="00BF12AF" w:rsidRDefault="00842CE4" w:rsidP="004E5005">
      <w:pPr>
        <w:keepNext/>
        <w:jc w:val="center"/>
      </w:pPr>
      <w:r>
        <w:rPr>
          <w:noProof/>
        </w:rPr>
        <w:lastRenderedPageBreak/>
        <w:drawing>
          <wp:inline distT="0" distB="0" distL="0" distR="0" wp14:anchorId="2C94994A" wp14:editId="4AE72D14">
            <wp:extent cx="4840207" cy="534352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8667" cy="5419104"/>
                    </a:xfrm>
                    <a:prstGeom prst="rect">
                      <a:avLst/>
                    </a:prstGeom>
                    <a:noFill/>
                    <a:ln>
                      <a:noFill/>
                    </a:ln>
                  </pic:spPr>
                </pic:pic>
              </a:graphicData>
            </a:graphic>
          </wp:inline>
        </w:drawing>
      </w:r>
    </w:p>
    <w:p w14:paraId="3A1647B9" w14:textId="2CF46B59" w:rsidR="00C96804" w:rsidRPr="00C96804" w:rsidRDefault="00C96804" w:rsidP="00C96804">
      <w:pPr>
        <w:keepNext/>
        <w:rPr>
          <w:b/>
          <w:bCs/>
          <w:sz w:val="20"/>
          <w:szCs w:val="20"/>
        </w:rPr>
      </w:pPr>
      <w:r w:rsidRPr="00C96804">
        <w:rPr>
          <w:b/>
          <w:bCs/>
          <w:sz w:val="20"/>
          <w:szCs w:val="20"/>
        </w:rPr>
        <w:t>Figura X: Expressão de memória social no Contexto A.</w:t>
      </w:r>
    </w:p>
    <w:p w14:paraId="130000A8" w14:textId="78FC5DB4" w:rsidR="004E5005" w:rsidRDefault="00C96804" w:rsidP="00C96804">
      <w:pPr>
        <w:keepNext/>
        <w:rPr>
          <w:sz w:val="20"/>
          <w:szCs w:val="20"/>
        </w:rPr>
      </w:pPr>
      <w:r w:rsidRPr="00C96804">
        <w:rPr>
          <w:sz w:val="20"/>
          <w:szCs w:val="20"/>
        </w:rPr>
        <w:t>Gráficos superiores representam o índice de reconhecimento social, obtido pela análise automática (A) e manual (B). Cada ponto representa um animal individual, com a linha contínua indicando a média do grupo. A linha pontilhada em zero corresponde ao nível do acaso. Gráficos inferiores apresentam o tempo total de investigação (em segundos) durante a fase de treino (vermelho) e teste (azul), analisado pelo método automático (C) e manual (D). As barras indicam a média + EPM, com os pontos individuais sobrepostos. Os asteriscos denotam a significância estatística (**p &lt; 0,01; ***p &lt; 0,001). As análises foram realizadas utilizando o teste t de Student</w:t>
      </w:r>
      <w:r w:rsidR="00A62367">
        <w:rPr>
          <w:sz w:val="20"/>
          <w:szCs w:val="20"/>
        </w:rPr>
        <w:t xml:space="preserve"> (Uma amostra para o IRS comparando com o valor hipotético de zero)</w:t>
      </w:r>
      <w:r w:rsidRPr="00C96804">
        <w:rPr>
          <w:sz w:val="20"/>
          <w:szCs w:val="20"/>
        </w:rPr>
        <w:t>.</w:t>
      </w:r>
    </w:p>
    <w:p w14:paraId="5F57D135" w14:textId="77777777" w:rsidR="00C96804" w:rsidRDefault="00C96804" w:rsidP="001B2C3E">
      <w:pPr>
        <w:rPr>
          <w:sz w:val="20"/>
          <w:szCs w:val="20"/>
        </w:rPr>
      </w:pPr>
    </w:p>
    <w:p w14:paraId="2A47C824" w14:textId="77777777" w:rsidR="00C96804" w:rsidRDefault="00C96804" w:rsidP="001B2C3E">
      <w:pPr>
        <w:rPr>
          <w:sz w:val="20"/>
          <w:szCs w:val="20"/>
        </w:rPr>
      </w:pPr>
    </w:p>
    <w:p w14:paraId="0A542D3C" w14:textId="77777777" w:rsidR="00C96804" w:rsidRDefault="00C96804" w:rsidP="001B2C3E">
      <w:pPr>
        <w:rPr>
          <w:sz w:val="20"/>
          <w:szCs w:val="20"/>
        </w:rPr>
      </w:pPr>
    </w:p>
    <w:p w14:paraId="1808CE9A" w14:textId="36C405AE" w:rsidR="001B2C3E" w:rsidRDefault="008D187E" w:rsidP="00351C49">
      <w:pPr>
        <w:pStyle w:val="Heading2"/>
      </w:pPr>
      <w:r w:rsidRPr="001B2C3E">
        <w:rPr>
          <w:caps w:val="0"/>
        </w:rPr>
        <w:lastRenderedPageBreak/>
        <w:t xml:space="preserve">OS ANIMAIS SÃO CAPAZES DE EXPRESSAR MEMÓRIA SOCIAL NO CONTEXTO </w:t>
      </w:r>
      <w:r>
        <w:rPr>
          <w:caps w:val="0"/>
        </w:rPr>
        <w:t>B</w:t>
      </w:r>
      <w:r w:rsidRPr="001B2C3E">
        <w:rPr>
          <w:caps w:val="0"/>
        </w:rPr>
        <w:t xml:space="preserve">, EM </w:t>
      </w:r>
      <w:r>
        <w:rPr>
          <w:caps w:val="0"/>
        </w:rPr>
        <w:t>AMBOS</w:t>
      </w:r>
      <w:r w:rsidRPr="001B2C3E">
        <w:rPr>
          <w:caps w:val="0"/>
        </w:rPr>
        <w:t xml:space="preserve"> </w:t>
      </w:r>
      <w:r>
        <w:rPr>
          <w:caps w:val="0"/>
        </w:rPr>
        <w:t>MÉTODOS</w:t>
      </w:r>
      <w:r w:rsidRPr="001B2C3E">
        <w:rPr>
          <w:caps w:val="0"/>
        </w:rPr>
        <w:t xml:space="preserve"> DE ANÁLISE</w:t>
      </w:r>
    </w:p>
    <w:p w14:paraId="32CB1384" w14:textId="30A64011" w:rsidR="00166C99" w:rsidRDefault="00A62367" w:rsidP="00C96804">
      <w:pPr>
        <w:ind w:firstLine="720"/>
      </w:pPr>
      <w:r>
        <w:t>Agora a</w:t>
      </w:r>
      <w:r w:rsidR="00166C99">
        <w:t xml:space="preserve"> investigação da memória social </w:t>
      </w:r>
      <w:r>
        <w:t xml:space="preserve">foi realizada </w:t>
      </w:r>
      <w:r w:rsidR="00166C99">
        <w:t xml:space="preserve">no Contexto B por meio de utilizando </w:t>
      </w:r>
      <w:r>
        <w:t>as mesmas métricas aplicadas ao contexto A</w:t>
      </w:r>
      <w:r w:rsidR="00166C99">
        <w:t>. Os resultados obtidos de forma independente por ambas as abordagens indicam consistentemente que os animais foram capazes de expressar memória de reconhecimento</w:t>
      </w:r>
      <w:r>
        <w:t xml:space="preserve"> também neste contexto</w:t>
      </w:r>
      <w:r w:rsidR="00166C99">
        <w:t xml:space="preserve">. </w:t>
      </w:r>
    </w:p>
    <w:p w14:paraId="49CC20C3" w14:textId="74F48A23" w:rsidR="00166C99" w:rsidRDefault="00166C99" w:rsidP="00166C99">
      <w:pPr>
        <w:ind w:firstLine="720"/>
      </w:pPr>
      <w:r>
        <w:t xml:space="preserve">A análise do tempo de investigação (Gráficos C e D) demonstrou uma redução estatisticamente significativa na exploração do animal-estímulo da fase de treino para a de teste. Na análise manual, essa diminuição foi significativa (teste t pareado: t(11)=2,595; p=0,0249). De forma similar, a análise automática (BY) corroborou este achado, confirmando que o tempo de investigação no teste foi significantemente menor (t(11)=2,271; p=0,0442). </w:t>
      </w:r>
    </w:p>
    <w:p w14:paraId="2B91A711" w14:textId="643F35EE" w:rsidR="00842CE4" w:rsidRDefault="00A62367" w:rsidP="00166C99">
      <w:pPr>
        <w:ind w:firstLine="720"/>
      </w:pPr>
      <w:r>
        <w:t xml:space="preserve">Essa diferença também é revelada quando o índice de reconhecimento social (IRS) é calculado </w:t>
      </w:r>
      <w:r w:rsidR="00166C99">
        <w:t xml:space="preserve">(Gráficos A e B). A análise manual revelou um índice médio significativamente positivo (t(11)=2,588; p=0,0252). Este resultado foi replicado pela análise automática, que também apontou um índice médio significantemente maior que o acaso (t(11)=2,401; p=0,0352). A convergência dos resultados, tanto na análise do tempo de exploração quanto no índice de reconhecimento, sustenta a conclusão de que os animais demonstraram memória social </w:t>
      </w:r>
      <w:r w:rsidR="00C65393">
        <w:t xml:space="preserve">também </w:t>
      </w:r>
      <w:r w:rsidR="00166C99">
        <w:t>no Contexto B.</w:t>
      </w:r>
    </w:p>
    <w:p w14:paraId="72BA7834" w14:textId="65548D92" w:rsidR="00842CE4" w:rsidRDefault="00842CE4" w:rsidP="00842CE4">
      <w:pPr>
        <w:jc w:val="center"/>
      </w:pPr>
      <w:r>
        <w:rPr>
          <w:noProof/>
        </w:rPr>
        <w:lastRenderedPageBreak/>
        <w:drawing>
          <wp:inline distT="0" distB="0" distL="0" distR="0" wp14:anchorId="3F91555F" wp14:editId="056D6D2B">
            <wp:extent cx="4878312" cy="54768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114" t="5442" r="24559" b="11564"/>
                    <a:stretch/>
                  </pic:blipFill>
                  <pic:spPr bwMode="auto">
                    <a:xfrm>
                      <a:off x="0" y="0"/>
                      <a:ext cx="4935961" cy="5541597"/>
                    </a:xfrm>
                    <a:prstGeom prst="rect">
                      <a:avLst/>
                    </a:prstGeom>
                    <a:noFill/>
                    <a:ln>
                      <a:noFill/>
                    </a:ln>
                    <a:extLst>
                      <a:ext uri="{53640926-AAD7-44D8-BBD7-CCE9431645EC}">
                        <a14:shadowObscured xmlns:a14="http://schemas.microsoft.com/office/drawing/2010/main"/>
                      </a:ext>
                    </a:extLst>
                  </pic:spPr>
                </pic:pic>
              </a:graphicData>
            </a:graphic>
          </wp:inline>
        </w:drawing>
      </w:r>
    </w:p>
    <w:p w14:paraId="4235F02B" w14:textId="2D842743" w:rsidR="004E5005" w:rsidRPr="004E5005" w:rsidRDefault="004E5005" w:rsidP="004E5005">
      <w:pPr>
        <w:rPr>
          <w:b/>
          <w:bCs/>
          <w:i/>
          <w:iCs/>
          <w:sz w:val="20"/>
          <w:szCs w:val="20"/>
        </w:rPr>
      </w:pPr>
      <w:r w:rsidRPr="004E5005">
        <w:rPr>
          <w:b/>
          <w:bCs/>
          <w:i/>
          <w:iCs/>
          <w:sz w:val="20"/>
          <w:szCs w:val="20"/>
        </w:rPr>
        <w:t>Figura X: Expressão de memória social no Contexto B.</w:t>
      </w:r>
    </w:p>
    <w:p w14:paraId="77C80B2D" w14:textId="40D55A11" w:rsidR="004E5005" w:rsidRDefault="004E5005" w:rsidP="004E5005">
      <w:pPr>
        <w:rPr>
          <w:sz w:val="20"/>
          <w:szCs w:val="20"/>
        </w:rPr>
      </w:pPr>
      <w:r w:rsidRPr="004E5005">
        <w:rPr>
          <w:sz w:val="20"/>
          <w:szCs w:val="20"/>
        </w:rPr>
        <w:t>Gráficos superiores representam o índice de reconhecimento social, calculado através da análise automática (A) e manual (B). Cada ponto representa um animal individual, e a linha contínua indica a média do grupo. A linha pontilhada em zero representa o nível do acaso. Gráficos inferiores ilustram o tempo total de investigação (em segundos) durante a fase de treino (vermelho) e teste (azul), conforme quantificado pelo método automático (C) e manual (D). As barras representam a média + EPM, com os pontos individuais sobrepostos. Os asteriscos indicam diferença estatisticamente significativa (p &lt; 0,05). Os dados foram analisados utilizando teste t de Student</w:t>
      </w:r>
      <w:r w:rsidR="00C65393">
        <w:rPr>
          <w:sz w:val="20"/>
          <w:szCs w:val="20"/>
        </w:rPr>
        <w:t xml:space="preserve"> (Uma amostra para o IRS comparando com o valor hipotético de zero)</w:t>
      </w:r>
      <w:r w:rsidRPr="004E5005">
        <w:rPr>
          <w:sz w:val="20"/>
          <w:szCs w:val="20"/>
        </w:rPr>
        <w:t>.</w:t>
      </w:r>
    </w:p>
    <w:p w14:paraId="3F70E1E2" w14:textId="21B9279E" w:rsidR="004E5005" w:rsidRDefault="004E5005" w:rsidP="004E5005">
      <w:pPr>
        <w:rPr>
          <w:sz w:val="20"/>
          <w:szCs w:val="20"/>
        </w:rPr>
      </w:pPr>
    </w:p>
    <w:p w14:paraId="57319996" w14:textId="24DDEA62" w:rsidR="00C96804" w:rsidRDefault="00C96804" w:rsidP="004E5005">
      <w:pPr>
        <w:rPr>
          <w:sz w:val="20"/>
          <w:szCs w:val="20"/>
        </w:rPr>
      </w:pPr>
    </w:p>
    <w:p w14:paraId="4AFCC763" w14:textId="318C8F4F" w:rsidR="001B2C3E" w:rsidRDefault="008D187E" w:rsidP="00351C49">
      <w:pPr>
        <w:pStyle w:val="Heading2"/>
      </w:pPr>
      <w:r>
        <w:rPr>
          <w:caps w:val="0"/>
        </w:rPr>
        <w:lastRenderedPageBreak/>
        <w:t>EXISTE UMA CORRELAÇÃO ENTRE A ANÁLISE AUTOMÁTICA E MANUAL</w:t>
      </w:r>
    </w:p>
    <w:p w14:paraId="1D972529" w14:textId="32E9DE1A" w:rsidR="00B96AF0" w:rsidRPr="00B96AF0" w:rsidRDefault="00C65393" w:rsidP="00166C99">
      <w:pPr>
        <w:ind w:firstLine="720"/>
      </w:pPr>
      <w:r>
        <w:t>A fim de confirmar a validade dos resultados advindos da análise automática</w:t>
      </w:r>
      <w:r w:rsidR="00B96AF0" w:rsidRPr="00B96AF0">
        <w:t xml:space="preserve">, foi realizada uma correlação de Pearson </w:t>
      </w:r>
      <w:r>
        <w:t>para</w:t>
      </w:r>
      <w:r w:rsidR="00B96AF0" w:rsidRPr="00B96AF0">
        <w:t xml:space="preserve"> comparar os resultados obtidos através da análise manual</w:t>
      </w:r>
      <w:r>
        <w:t xml:space="preserve"> realizada por um avaliador experiente</w:t>
      </w:r>
      <w:r w:rsidR="00B96AF0" w:rsidRPr="00B96AF0">
        <w:t xml:space="preserve">, considerada o padrão-ouro. A avaliação foi conduzida </w:t>
      </w:r>
      <w:r>
        <w:t>nos</w:t>
      </w:r>
      <w:r w:rsidR="00B96AF0" w:rsidRPr="00B96AF0">
        <w:t xml:space="preserve"> dois cenários distintos</w:t>
      </w:r>
      <w:r>
        <w:t xml:space="preserve"> possíveis</w:t>
      </w:r>
      <w:r w:rsidR="00B96AF0" w:rsidRPr="00B96AF0">
        <w:t xml:space="preserve"> (Contexto A e Contexto B) e abrangeu tanto a fase de treino quanto a de teste, conforme visualmente representado nos gráficos de dispersão da imagem. Em todas as condições analisadas, foi encontrada uma correlação positiva, forte e estatisticamente significativa, indicando um alto grau de concordância entre os dois métodos.</w:t>
      </w:r>
    </w:p>
    <w:p w14:paraId="29D57520" w14:textId="4456879C" w:rsidR="00B96AF0" w:rsidRPr="00B96AF0" w:rsidRDefault="00B96AF0" w:rsidP="00166C99">
      <w:pPr>
        <w:ind w:firstLine="720"/>
      </w:pPr>
      <w:r w:rsidRPr="00B96AF0">
        <w:t xml:space="preserve">No Contexto A, a fase de treino (Gráfico </w:t>
      </w:r>
      <w:r w:rsidR="00030E25">
        <w:t>A</w:t>
      </w:r>
      <w:r w:rsidRPr="00B96AF0">
        <w:t xml:space="preserve">) já demonstrou uma correlação </w:t>
      </w:r>
      <w:r w:rsidR="00C65393">
        <w:t>alta</w:t>
      </w:r>
      <w:r w:rsidRPr="00B96AF0">
        <w:t xml:space="preserve"> entre os métodos automático e manual (r=0,9700; R2=0,9409; p</w:t>
      </w:r>
      <w:r>
        <w:t>&lt;</w:t>
      </w:r>
      <w:r w:rsidRPr="00B96AF0">
        <w:t xml:space="preserve">0,0001). Na fase de teste subsequente (Gráfico </w:t>
      </w:r>
      <w:r w:rsidR="00030E25">
        <w:t>B</w:t>
      </w:r>
      <w:r w:rsidRPr="00B96AF0">
        <w:t xml:space="preserve">), a correlação permaneceu forte e altamente significativa (r=0,8782; R2=0,7712; p=0,0002), confirmando a capacidade de generalização do modelo. </w:t>
      </w:r>
    </w:p>
    <w:p w14:paraId="47B22F6A" w14:textId="7E76CCBE" w:rsidR="00B96AF0" w:rsidRPr="00B96AF0" w:rsidRDefault="00B96AF0" w:rsidP="00166C99">
      <w:pPr>
        <w:ind w:firstLine="720"/>
      </w:pPr>
      <w:r w:rsidRPr="00B96AF0">
        <w:t xml:space="preserve">A análise do Contexto B revelou um desempenho ainda mais notável. A fase de treino (Gráfico </w:t>
      </w:r>
      <w:r w:rsidR="00030E25">
        <w:t>C</w:t>
      </w:r>
      <w:r w:rsidRPr="00B96AF0">
        <w:t>) apresentou uma correlação muito forte (r=0,9684; R2=0,9377; p</w:t>
      </w:r>
      <w:r w:rsidR="00030E25">
        <w:t>&lt;</w:t>
      </w:r>
      <w:r w:rsidRPr="00B96AF0">
        <w:t xml:space="preserve">0,0001), similar à observada no Contexto A. Contudo, foi na fase de teste (Gráfico </w:t>
      </w:r>
      <w:r w:rsidR="00030E25">
        <w:t>D</w:t>
      </w:r>
      <w:r w:rsidRPr="00B96AF0">
        <w:t>) que a ferramenta demonstrou sua maior precisão, atingindo uma correlação quase perfeita (r=0,9917; R2=0,9835; p</w:t>
      </w:r>
      <w:r>
        <w:t xml:space="preserve"> &lt; </w:t>
      </w:r>
      <w:r w:rsidRPr="00B96AF0">
        <w:t>0,0001).</w:t>
      </w:r>
      <w:r w:rsidR="00030E25">
        <w:t xml:space="preserve"> Os dados ainda mostram um acoplamento ainda melhor quando vemos que </w:t>
      </w:r>
      <w:r w:rsidRPr="00B96AF0">
        <w:t>o R</w:t>
      </w:r>
      <w:r w:rsidRPr="00030E25">
        <w:rPr>
          <w:vertAlign w:val="superscript"/>
        </w:rPr>
        <w:t>2</w:t>
      </w:r>
      <w:r w:rsidRPr="00B96AF0">
        <w:t xml:space="preserve"> </w:t>
      </w:r>
      <w:r w:rsidR="00030E25">
        <w:t>indica</w:t>
      </w:r>
      <w:r w:rsidRPr="00B96AF0">
        <w:t xml:space="preserve"> que mais de 98% da variância dos dados manuais é prevista pelo método Behavython, sugerindo uma aplicabilidade e confiabilidade elevada</w:t>
      </w:r>
      <w:r w:rsidR="00030E25">
        <w:t>s</w:t>
      </w:r>
      <w:r w:rsidRPr="00B96AF0">
        <w:t>.</w:t>
      </w:r>
    </w:p>
    <w:p w14:paraId="69E9372F" w14:textId="59B81C80" w:rsidR="00B96AF0" w:rsidRPr="00B96AF0" w:rsidRDefault="00B96AF0" w:rsidP="00166C99">
      <w:pPr>
        <w:ind w:firstLine="720"/>
      </w:pPr>
      <w:r w:rsidRPr="00B96AF0">
        <w:t>Em conjunto, estes resultados validam o método de análise automática como uma alternativa precisa à análise manual. A consistência dos altos valores de correlação e a significância estatística em diferentes contextos e fases (treino e teste) sustentam a sua utilização como uma ferramenta eficaz, capaz de otimizar o processo de análise de dados, reduzindo o tempo e a potencial subjetividade associados ao método manual.</w:t>
      </w:r>
    </w:p>
    <w:p w14:paraId="0CC64D44" w14:textId="64215092" w:rsidR="008948BA" w:rsidRDefault="00C65393" w:rsidP="00C96804">
      <w:pPr>
        <w:jc w:val="center"/>
        <w:rPr>
          <w:b/>
          <w:bCs/>
        </w:rPr>
      </w:pPr>
      <w:r>
        <w:rPr>
          <w:noProof/>
        </w:rPr>
        <w:lastRenderedPageBreak/>
        <w:drawing>
          <wp:inline distT="0" distB="0" distL="0" distR="0" wp14:anchorId="546C179F" wp14:editId="6D1CE5DA">
            <wp:extent cx="5943600" cy="374650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46500"/>
                    </a:xfrm>
                    <a:prstGeom prst="rect">
                      <a:avLst/>
                    </a:prstGeom>
                    <a:noFill/>
                    <a:ln>
                      <a:noFill/>
                    </a:ln>
                  </pic:spPr>
                </pic:pic>
              </a:graphicData>
            </a:graphic>
          </wp:inline>
        </w:drawing>
      </w:r>
    </w:p>
    <w:p w14:paraId="5F97521A" w14:textId="64930F2D" w:rsidR="00C96804" w:rsidRPr="00C96804" w:rsidRDefault="00C96804" w:rsidP="00C96804">
      <w:pPr>
        <w:rPr>
          <w:sz w:val="20"/>
          <w:szCs w:val="20"/>
        </w:rPr>
      </w:pPr>
      <w:r w:rsidRPr="00C96804">
        <w:rPr>
          <w:sz w:val="20"/>
          <w:szCs w:val="20"/>
        </w:rPr>
        <w:t>Figura X: Correlação entre os métodos de análise automático e manual.</w:t>
      </w:r>
    </w:p>
    <w:p w14:paraId="6808952C" w14:textId="668DB396" w:rsidR="00C96804" w:rsidRDefault="00C96804" w:rsidP="00C96804">
      <w:pPr>
        <w:rPr>
          <w:sz w:val="20"/>
          <w:szCs w:val="20"/>
        </w:rPr>
      </w:pPr>
      <w:r w:rsidRPr="00C96804">
        <w:rPr>
          <w:sz w:val="20"/>
          <w:szCs w:val="20"/>
        </w:rPr>
        <w:t xml:space="preserve">Gráficos de dispersão ilustrando a concordância entre o tempo de investigação (s) quantificado pelo método automático (eixo Y) e o método manual (eixo X). A análise foi realizada em duas condições experimentais distintas, Contexto A e Contexto B, e em duas fases, treino e teste. Os painéis detalham as correlações para: (A) Contexto A, fase de </w:t>
      </w:r>
      <w:r w:rsidR="00C65393">
        <w:rPr>
          <w:sz w:val="20"/>
          <w:szCs w:val="20"/>
        </w:rPr>
        <w:t>treino</w:t>
      </w:r>
      <w:r w:rsidRPr="00C96804">
        <w:rPr>
          <w:sz w:val="20"/>
          <w:szCs w:val="20"/>
        </w:rPr>
        <w:t xml:space="preserve">; (B) Contexto A, fase de </w:t>
      </w:r>
      <w:r w:rsidR="00030E25">
        <w:rPr>
          <w:sz w:val="20"/>
          <w:szCs w:val="20"/>
        </w:rPr>
        <w:t>t</w:t>
      </w:r>
      <w:r w:rsidR="00C65393">
        <w:rPr>
          <w:sz w:val="20"/>
          <w:szCs w:val="20"/>
        </w:rPr>
        <w:t>este</w:t>
      </w:r>
      <w:r w:rsidRPr="00C96804">
        <w:rPr>
          <w:sz w:val="20"/>
          <w:szCs w:val="20"/>
        </w:rPr>
        <w:t xml:space="preserve">; (C) Contexto B, fase de </w:t>
      </w:r>
      <w:r w:rsidR="00C65393">
        <w:rPr>
          <w:sz w:val="20"/>
          <w:szCs w:val="20"/>
        </w:rPr>
        <w:t>treino</w:t>
      </w:r>
      <w:r w:rsidRPr="00C96804">
        <w:rPr>
          <w:sz w:val="20"/>
          <w:szCs w:val="20"/>
        </w:rPr>
        <w:t xml:space="preserve">; e (D) Contexto B, fase de </w:t>
      </w:r>
      <w:r w:rsidR="00C65393">
        <w:rPr>
          <w:sz w:val="20"/>
          <w:szCs w:val="20"/>
        </w:rPr>
        <w:t>teste</w:t>
      </w:r>
      <w:r w:rsidRPr="00C96804">
        <w:rPr>
          <w:sz w:val="20"/>
          <w:szCs w:val="20"/>
        </w:rPr>
        <w:t>. Cada ponto representa um par de dados de um único animal, e a distribuição linear dos pontos indica uma forte correlação positiva entre as duas formas de análise.</w:t>
      </w:r>
    </w:p>
    <w:p w14:paraId="336988A4" w14:textId="77777777" w:rsidR="00465C19" w:rsidRDefault="00465C19" w:rsidP="00C96804">
      <w:pPr>
        <w:rPr>
          <w:sz w:val="20"/>
          <w:szCs w:val="20"/>
        </w:rPr>
      </w:pPr>
    </w:p>
    <w:p w14:paraId="4449E580" w14:textId="0496FB59" w:rsidR="00465C19" w:rsidRDefault="00465C19" w:rsidP="008C05D2">
      <w:pPr>
        <w:pStyle w:val="Heading1"/>
      </w:pPr>
      <w:r>
        <w:t>DISCUSSÃO</w:t>
      </w:r>
    </w:p>
    <w:p w14:paraId="59997517" w14:textId="37677691" w:rsidR="00627488" w:rsidRDefault="00627488" w:rsidP="00627488">
      <w:pPr>
        <w:ind w:firstLine="720"/>
      </w:pPr>
      <w:r>
        <w:t>Os resultados obtidos no presente estudo demonstram que a memória social é um fenômeno robusto, capaz de persistir mesmo diante de alterações significativas no contexto espacial. Observou-se que a memória de reconhecimento social foi expressa tanto no Contexto A (familiar) quanto no Contexto B (novo), indicando que a modificação das pistas ambientais ("onde") não impede a recuperação da informação sobre a identidade do conspecífico familiar ("quem").</w:t>
      </w:r>
    </w:p>
    <w:p w14:paraId="6F2DCEFD" w14:textId="77777777" w:rsidR="00627488" w:rsidRDefault="00627488" w:rsidP="00627488">
      <w:pPr>
        <w:ind w:firstLine="720"/>
      </w:pPr>
      <w:r>
        <w:t xml:space="preserve">Este achado dialoga diretamente com a literatura recente sobre a codificação hipocampal. Wu e colaboradores (2023) propõem que o hipocampo ventral desempenha um papel crucial na codificação do contexto social. Embora a visão clássica sugira uma </w:t>
      </w:r>
      <w:r>
        <w:lastRenderedPageBreak/>
        <w:t>integração estrita entre as informações de "quem" e "onde", nossos dados sugerem uma flexibilidade funcional: a representação da identidade social parece possuir autonomia suficiente para ser evocada mesmo quando a representação espacial sofre um remapeamento devido à novidade ambiental. Isso indica que a mudança do contexto espacial não prejudica necessariamente o reconhecimento do conspecífico, apontando para vias de processamento que podem sustentar a memória social independentemente da estabilidade das pistas espaciais globais.</w:t>
      </w:r>
    </w:p>
    <w:p w14:paraId="5A3080A8" w14:textId="77777777" w:rsidR="00627488" w:rsidRDefault="00627488" w:rsidP="00627488">
      <w:pPr>
        <w:ind w:firstLine="720"/>
      </w:pPr>
      <w:r>
        <w:t>No entanto, uma nuance importante foi observada no desempenho comportamental: os animais exploraram menos o conspecífico familiar no Contexto B em comparação ao Contexto A. Embora a discriminação (e, portanto, a memória) tenha ocorrido, essa redução na investigação sugere uma leve interferência ou competição cognitiva. É provável que, no ambiente novo, a demanda atencional para processar e mapear as novas pistas espaciais e sensoriais tenha competido com a motivação para a interação social. Vale ressaltar que o animal ocupou a mesma posição espacial relativa (centro da caixa) em ambos os contextos; portanto, a alteração na exploração não se deve a uma mudança na geometria da tarefa, mas sim à natureza multissensorial do novo ambiente.</w:t>
      </w:r>
    </w:p>
    <w:p w14:paraId="3D28F728" w14:textId="4DC69069" w:rsidR="00627488" w:rsidRDefault="00627488" w:rsidP="00627488">
      <w:pPr>
        <w:ind w:firstLine="720"/>
      </w:pPr>
      <w:r>
        <w:t>Para compreender essa dinâmica, é fundamental considerar o substrato neuroanatômico da integração sensório-cognitiva. O córtex entorrinal atua como a principal porta de entrada de informações corticais para o hipocampo e é uma região chave para a integração multimodal (Basu et al., 2016). É plausível hipotetizar que, no Contexto B, a entrada massiva de novas informações espaciais tenha modulado a atividade hipocampal, resultando na alteração sutil do comportamento exploratório, sem, contudo, bloquear a via de reconhecimento social.</w:t>
      </w:r>
    </w:p>
    <w:p w14:paraId="48326493" w14:textId="178ECE0D" w:rsidR="00627488" w:rsidRDefault="00627488" w:rsidP="00627488">
      <w:pPr>
        <w:ind w:firstLine="720"/>
      </w:pPr>
      <w:r>
        <w:t xml:space="preserve">Para descartar a possibilidade de que as diferenças observadas fossem decorrentes de alterações motoras ou ansiedade generalizada induzida pelo novo ambiente, foram analisados parâmetros locomotores adicionais, como distância percorrida, velocidade média, tempo de movimentação e imobilidade, além de comportamentos de *rearing*. A ausência de prejuízos motores significativos ou de comportamentos típicos de congelamento excessivo no Contexto B reforça a interpretação de que a redução na investigação social reflete processos cognitivos de </w:t>
      </w:r>
      <w:r>
        <w:lastRenderedPageBreak/>
        <w:t>alocação de atenção, e não uma incapacidade motora ou um estado aversivo paralisante. [Se você tiver os dados de 5 dias: A análise longitudinal ao longo de 5 dias sugere ainda que a habituação ao contexto ocorre de forma distinta da habituação ao estímulo social, um fator que merece investigação detalhada].</w:t>
      </w:r>
    </w:p>
    <w:p w14:paraId="223C0C54" w14:textId="77777777" w:rsidR="00627488" w:rsidRDefault="00627488" w:rsidP="00627488">
      <w:pPr>
        <w:ind w:firstLine="720"/>
      </w:pPr>
      <w:r>
        <w:t>A fim de investigar os mecanismos neurais subjacentes a essa integração entre memória social e espacial, estudos futuros se fazem necessários. O uso de técnicas de registro neural em animais livres, como o imageamento de cálcio via miniscopes, seria particularmente elucidativo. Essa abordagem permitiria observar a atividade de populações neuronais no hipocampo dorsal e ventral em tempo real durante a tarefa, revelando como a codificação de "quem" e "onde" ocorre simultaneamente e como essas representações são alteradas pela manipulação contextual.</w:t>
      </w:r>
    </w:p>
    <w:p w14:paraId="616D0E16" w14:textId="384C1F90" w:rsidR="00627488" w:rsidRDefault="00627488" w:rsidP="00627488">
      <w:pPr>
        <w:ind w:firstLine="720"/>
      </w:pPr>
      <w:r>
        <w:t>Paralelamente aos achados biológicos, este trabalho validou uma ferramenta de análise comportamental automatizada (Behavython/BY). A ferramenta mostrou-se eficaz e confiável, apresentando uma alta correlação com a análise manual</w:t>
      </w:r>
      <w:r w:rsidR="000C7CC2">
        <w:t xml:space="preserve">. </w:t>
      </w:r>
      <w:r>
        <w:t>A validação desta ferramenta abre portas para sua utilização como um método de triagem inicial em larga escala. Isso aumentaria significativamente a eficiência do processo analítico, permitindo que avaliadores humanos concentrem seus esforços na revisão de casos complexos ou ambíguos, onde a sutileza da interpretação humana ainda é insubstituível.</w:t>
      </w:r>
    </w:p>
    <w:p w14:paraId="4BA61338" w14:textId="1B08B169" w:rsidR="00627488" w:rsidRDefault="00627488" w:rsidP="00627488">
      <w:pPr>
        <w:ind w:firstLine="720"/>
      </w:pPr>
      <w:r>
        <w:t>A implementação de uma interface gráfica (GUI) amigável é um ponto forte do desenvolvimento desta ferramenta, democratizando o acesso a técnicas avançadas de visão computacional para pesquisadores sem experiência prévia em programação. Além disso, a ferramenta demonstrou versatilidade, possuindo potencial de aplicabilidade em outras tarefas comportamentais além do reconhecimento social, como testes de ansiedade (Labirinto em Cruz Elevado) e memória espacial (Labirinto de Barnes ou Morris), aproveitando a robustez do DeepLabCut para rastreamento postural.</w:t>
      </w:r>
    </w:p>
    <w:p w14:paraId="4981F5B1" w14:textId="735644FA" w:rsidR="00627488" w:rsidRDefault="00627488" w:rsidP="00627488">
      <w:pPr>
        <w:ind w:firstLine="720"/>
      </w:pPr>
      <w:r>
        <w:t xml:space="preserve">Contudo, a automação não é isenta de limitações. A eficácia da ferramenta depende da qualidade do treinamento inicial da rede neural, exigindo um conjunto de dados rotulados manualmente que seja representativo. Erros de detecção podem ocorrer em condições de iluminação subótimas, contrastes baixos ou ângulos de câmera que gerem oclusão dos pontos de interesse. Além disso, a padronização de parâmetros de análise, como o limiar de movimento para considerar o animal ativo, é crucial para </w:t>
      </w:r>
      <w:r>
        <w:lastRenderedPageBreak/>
        <w:t>garantir a comparabilidade dos resultados entre diferentes estudos e laboratórios, algo que a ferramenta busca facilitar.</w:t>
      </w:r>
    </w:p>
    <w:p w14:paraId="2BCE02E5" w14:textId="4495F33C" w:rsidR="00627488" w:rsidRDefault="00627488" w:rsidP="00627488">
      <w:pPr>
        <w:ind w:firstLine="720"/>
      </w:pPr>
      <w:r>
        <w:t>Como perspectivas futuras para o desenvolvimento tecnológico, prevê-se a incorporação de algoritmos de aprendizado de máquina adicionais (como classificadores supervisionados pós-pose) para refinar a precisão na detecção de comportamentos específicos, como o *sniffing* ou o *rearing*. A integração com outros softwares de análise comportamental e a expansão para análise de interações sociais complexas entre múltiplos animais livres são caminhos promissores para a evolução desta ferramenta.</w:t>
      </w:r>
    </w:p>
    <w:p w14:paraId="0897821E" w14:textId="77777777" w:rsidR="00627488" w:rsidRPr="00446F78" w:rsidRDefault="00627488" w:rsidP="00627488"/>
    <w:p w14:paraId="2A4F522A" w14:textId="70D3441A" w:rsidR="00465C19" w:rsidRDefault="00465C19" w:rsidP="008C05D2">
      <w:pPr>
        <w:pStyle w:val="Heading1"/>
      </w:pPr>
      <w:r>
        <w:t>CONCLUSÃO</w:t>
      </w:r>
    </w:p>
    <w:p w14:paraId="71B4FCB0" w14:textId="77777777" w:rsidR="000C7CC2" w:rsidRDefault="000C7CC2" w:rsidP="00446F78"/>
    <w:p w14:paraId="371CB18D" w14:textId="77777777" w:rsidR="000C7CC2" w:rsidRPr="00446F78" w:rsidRDefault="000C7CC2" w:rsidP="00446F78"/>
    <w:p w14:paraId="4C2378A7" w14:textId="07D8742A" w:rsidR="00465C19" w:rsidRDefault="00465C19" w:rsidP="008C05D2">
      <w:pPr>
        <w:pStyle w:val="Heading1"/>
      </w:pPr>
      <w:r>
        <w:t>REFERÊNCIAS</w:t>
      </w:r>
    </w:p>
    <w:p w14:paraId="0598D247" w14:textId="77777777" w:rsidR="007B62B6" w:rsidRPr="007B62B6" w:rsidRDefault="006057BE" w:rsidP="007B62B6">
      <w:pPr>
        <w:pStyle w:val="Bibliography"/>
        <w:rPr>
          <w:rFonts w:cs="Arial"/>
          <w:lang w:val="en-US"/>
        </w:rPr>
      </w:pPr>
      <w:r>
        <w:fldChar w:fldCharType="begin"/>
      </w:r>
      <w:r>
        <w:instrText xml:space="preserve"> ADDIN ZOTERO_BIBL {"uncited":[],"omitted":[],"custom":[]} CSL_BIBLIOGRAPHY </w:instrText>
      </w:r>
      <w:r>
        <w:fldChar w:fldCharType="separate"/>
      </w:r>
      <w:r w:rsidR="007B62B6" w:rsidRPr="007B62B6">
        <w:rPr>
          <w:rFonts w:cs="Arial"/>
        </w:rPr>
        <w:t xml:space="preserve">Adams, D. (2019). </w:t>
      </w:r>
      <w:r w:rsidR="007B62B6" w:rsidRPr="007B62B6">
        <w:rPr>
          <w:rFonts w:cs="Arial"/>
          <w:i/>
          <w:iCs/>
        </w:rPr>
        <w:t>O Guia Definitivo do Mochileiro das Galaxias</w:t>
      </w:r>
      <w:r w:rsidR="007B62B6" w:rsidRPr="007B62B6">
        <w:rPr>
          <w:rFonts w:cs="Arial"/>
        </w:rPr>
        <w:t xml:space="preserve">. </w:t>
      </w:r>
      <w:r w:rsidR="007B62B6" w:rsidRPr="007B62B6">
        <w:rPr>
          <w:rFonts w:cs="Arial"/>
          <w:lang w:val="en-US"/>
        </w:rPr>
        <w:t>Douglas Adams.</w:t>
      </w:r>
    </w:p>
    <w:p w14:paraId="52C79E45" w14:textId="77777777" w:rsidR="007B62B6" w:rsidRPr="007B62B6" w:rsidRDefault="007B62B6" w:rsidP="007B62B6">
      <w:pPr>
        <w:pStyle w:val="Bibliography"/>
        <w:rPr>
          <w:rFonts w:cs="Arial"/>
          <w:lang w:val="en-US"/>
        </w:rPr>
      </w:pPr>
      <w:r w:rsidRPr="007B62B6">
        <w:rPr>
          <w:rFonts w:cs="Arial"/>
          <w:lang w:val="en-US"/>
        </w:rPr>
        <w:t xml:space="preserve">Addis, D. R. (2020). Mental time travel? A neurocognitive model of event simulation. </w:t>
      </w:r>
      <w:r w:rsidRPr="007B62B6">
        <w:rPr>
          <w:rFonts w:cs="Arial"/>
          <w:i/>
          <w:iCs/>
          <w:lang w:val="en-US"/>
        </w:rPr>
        <w:t>Review of Philosophy and Psychology</w:t>
      </w:r>
      <w:r w:rsidRPr="007B62B6">
        <w:rPr>
          <w:rFonts w:cs="Arial"/>
          <w:lang w:val="en-US"/>
        </w:rPr>
        <w:t xml:space="preserve">, </w:t>
      </w:r>
      <w:r w:rsidRPr="007B62B6">
        <w:rPr>
          <w:rFonts w:cs="Arial"/>
          <w:i/>
          <w:iCs/>
          <w:lang w:val="en-US"/>
        </w:rPr>
        <w:t>11</w:t>
      </w:r>
      <w:r w:rsidRPr="007B62B6">
        <w:rPr>
          <w:rFonts w:cs="Arial"/>
          <w:lang w:val="en-US"/>
        </w:rPr>
        <w:t>(2), 233–259. https://doi.org/10.1007/s13164-020-00470-0</w:t>
      </w:r>
    </w:p>
    <w:p w14:paraId="4F0FAAE9" w14:textId="77777777" w:rsidR="007B62B6" w:rsidRPr="007B62B6" w:rsidRDefault="007B62B6" w:rsidP="007B62B6">
      <w:pPr>
        <w:pStyle w:val="Bibliography"/>
        <w:rPr>
          <w:rFonts w:cs="Arial"/>
          <w:lang w:val="en-US"/>
        </w:rPr>
      </w:pPr>
      <w:r w:rsidRPr="007B62B6">
        <w:rPr>
          <w:rFonts w:cs="Arial"/>
          <w:lang w:val="en-US"/>
        </w:rPr>
        <w:t xml:space="preserve">Chase, I. D., Tovey, C., Spangler-Martin, D., &amp; Manfredonia, M. (2002). Individual differences versus social dynamics in the formation of animal dominance hierarchies. </w:t>
      </w:r>
      <w:r w:rsidRPr="007B62B6">
        <w:rPr>
          <w:rFonts w:cs="Arial"/>
          <w:i/>
          <w:iCs/>
          <w:lang w:val="en-US"/>
        </w:rPr>
        <w:t>Proceedings of the National Academy of Sciences of the United States of America</w:t>
      </w:r>
      <w:r w:rsidRPr="007B62B6">
        <w:rPr>
          <w:rFonts w:cs="Arial"/>
          <w:lang w:val="en-US"/>
        </w:rPr>
        <w:t xml:space="preserve">, </w:t>
      </w:r>
      <w:r w:rsidRPr="007B62B6">
        <w:rPr>
          <w:rFonts w:cs="Arial"/>
          <w:i/>
          <w:iCs/>
          <w:lang w:val="en-US"/>
        </w:rPr>
        <w:t>99</w:t>
      </w:r>
      <w:r w:rsidRPr="007B62B6">
        <w:rPr>
          <w:rFonts w:cs="Arial"/>
          <w:lang w:val="en-US"/>
        </w:rPr>
        <w:t>, 5744–5749. https://doi.org/10.1073/pnas.082104199</w:t>
      </w:r>
    </w:p>
    <w:p w14:paraId="271C916D" w14:textId="77777777" w:rsidR="007B62B6" w:rsidRPr="007B62B6" w:rsidRDefault="007B62B6" w:rsidP="007B62B6">
      <w:pPr>
        <w:pStyle w:val="Bibliography"/>
        <w:rPr>
          <w:rFonts w:cs="Arial"/>
          <w:lang w:val="en-US"/>
        </w:rPr>
      </w:pPr>
      <w:r w:rsidRPr="007B62B6">
        <w:rPr>
          <w:rFonts w:cs="Arial"/>
          <w:lang w:val="en-US"/>
        </w:rPr>
        <w:t xml:space="preserve">Conway, M. A., &amp; Pleydell-Pearce, C. W. (2000). The construction of autobiographical memories in the self-memory system. </w:t>
      </w:r>
      <w:r w:rsidRPr="007B62B6">
        <w:rPr>
          <w:rFonts w:cs="Arial"/>
          <w:i/>
          <w:iCs/>
          <w:lang w:val="en-US"/>
        </w:rPr>
        <w:t>Psychological Review</w:t>
      </w:r>
      <w:r w:rsidRPr="007B62B6">
        <w:rPr>
          <w:rFonts w:cs="Arial"/>
          <w:lang w:val="en-US"/>
        </w:rPr>
        <w:t xml:space="preserve">, </w:t>
      </w:r>
      <w:r w:rsidRPr="007B62B6">
        <w:rPr>
          <w:rFonts w:cs="Arial"/>
          <w:i/>
          <w:iCs/>
          <w:lang w:val="en-US"/>
        </w:rPr>
        <w:t>107</w:t>
      </w:r>
      <w:r w:rsidRPr="007B62B6">
        <w:rPr>
          <w:rFonts w:cs="Arial"/>
          <w:lang w:val="en-US"/>
        </w:rPr>
        <w:t>(2), 261–288. https://doi.org/10.1037/0033-295X.107.2.261</w:t>
      </w:r>
    </w:p>
    <w:p w14:paraId="0E03C1D7" w14:textId="77777777" w:rsidR="007B62B6" w:rsidRPr="007B62B6" w:rsidRDefault="007B62B6" w:rsidP="007B62B6">
      <w:pPr>
        <w:pStyle w:val="Bibliography"/>
        <w:rPr>
          <w:rFonts w:cs="Arial"/>
          <w:lang w:val="en-US"/>
        </w:rPr>
      </w:pPr>
      <w:r w:rsidRPr="007B62B6">
        <w:rPr>
          <w:rFonts w:cs="Arial"/>
          <w:lang w:val="en-US"/>
        </w:rPr>
        <w:t>Cum, M., Santiago Pérez, J. A., Wangia, E., Lopez, N., Wright, E. S., Iwata, R. L., Li, A., Chambers, A. R., &amp; Padilla-Coreano, N. (2024). A systematic review and meta-</w:t>
      </w:r>
      <w:r w:rsidRPr="007B62B6">
        <w:rPr>
          <w:rFonts w:cs="Arial"/>
          <w:lang w:val="en-US"/>
        </w:rPr>
        <w:lastRenderedPageBreak/>
        <w:t xml:space="preserve">analysis of how social memory is studied. </w:t>
      </w:r>
      <w:r w:rsidRPr="007B62B6">
        <w:rPr>
          <w:rFonts w:cs="Arial"/>
          <w:i/>
          <w:iCs/>
          <w:lang w:val="en-US"/>
        </w:rPr>
        <w:t>Scientific Reports</w:t>
      </w:r>
      <w:r w:rsidRPr="007B62B6">
        <w:rPr>
          <w:rFonts w:cs="Arial"/>
          <w:lang w:val="en-US"/>
        </w:rPr>
        <w:t xml:space="preserve">, </w:t>
      </w:r>
      <w:r w:rsidRPr="007B62B6">
        <w:rPr>
          <w:rFonts w:cs="Arial"/>
          <w:i/>
          <w:iCs/>
          <w:lang w:val="en-US"/>
        </w:rPr>
        <w:t>14</w:t>
      </w:r>
      <w:r w:rsidRPr="007B62B6">
        <w:rPr>
          <w:rFonts w:cs="Arial"/>
          <w:lang w:val="en-US"/>
        </w:rPr>
        <w:t>(1), 2221. https://doi.org/10.1038/s41598-024-52277-z</w:t>
      </w:r>
    </w:p>
    <w:p w14:paraId="41301445" w14:textId="77777777" w:rsidR="007B62B6" w:rsidRPr="007B62B6" w:rsidRDefault="007B62B6" w:rsidP="007B62B6">
      <w:pPr>
        <w:pStyle w:val="Bibliography"/>
        <w:rPr>
          <w:rFonts w:cs="Arial"/>
          <w:lang w:val="en-US"/>
        </w:rPr>
      </w:pPr>
      <w:r w:rsidRPr="007B62B6">
        <w:rPr>
          <w:rFonts w:cs="Arial"/>
          <w:lang w:val="en-US"/>
        </w:rPr>
        <w:t xml:space="preserve">d’Isa, R., &amp; Gerlai, R. (2023). Designing animal-friendly behavioral tests for neuroscience research: The importance of an ethological approach. </w:t>
      </w:r>
      <w:r w:rsidRPr="007B62B6">
        <w:rPr>
          <w:rFonts w:cs="Arial"/>
          <w:i/>
          <w:iCs/>
          <w:lang w:val="en-US"/>
        </w:rPr>
        <w:t>Frontiers in Behavioral Neuroscience</w:t>
      </w:r>
      <w:r w:rsidRPr="007B62B6">
        <w:rPr>
          <w:rFonts w:cs="Arial"/>
          <w:lang w:val="en-US"/>
        </w:rPr>
        <w:t xml:space="preserve">, </w:t>
      </w:r>
      <w:r w:rsidRPr="007B62B6">
        <w:rPr>
          <w:rFonts w:cs="Arial"/>
          <w:i/>
          <w:iCs/>
          <w:lang w:val="en-US"/>
        </w:rPr>
        <w:t>16</w:t>
      </w:r>
      <w:r w:rsidRPr="007B62B6">
        <w:rPr>
          <w:rFonts w:cs="Arial"/>
          <w:lang w:val="en-US"/>
        </w:rPr>
        <w:t>. https://doi.org/10.3389/fnbeh.2022.1090248</w:t>
      </w:r>
    </w:p>
    <w:p w14:paraId="6C8679A0" w14:textId="77777777" w:rsidR="007B62B6" w:rsidRPr="007B62B6" w:rsidRDefault="007B62B6" w:rsidP="007B62B6">
      <w:pPr>
        <w:pStyle w:val="Bibliography"/>
        <w:rPr>
          <w:rFonts w:cs="Arial"/>
          <w:lang w:val="en-US"/>
        </w:rPr>
      </w:pPr>
      <w:r w:rsidRPr="007B62B6">
        <w:rPr>
          <w:rFonts w:cs="Arial"/>
          <w:lang w:val="en-US"/>
        </w:rPr>
        <w:t xml:space="preserve">Dudai, Y. (Org.). (2002). </w:t>
      </w:r>
      <w:r w:rsidRPr="007B62B6">
        <w:rPr>
          <w:rFonts w:cs="Arial"/>
          <w:i/>
          <w:iCs/>
          <w:lang w:val="en-US"/>
        </w:rPr>
        <w:t>Memory from A to Z: Keywords, concepts, and beyond</w:t>
      </w:r>
      <w:r w:rsidRPr="007B62B6">
        <w:rPr>
          <w:rFonts w:cs="Arial"/>
          <w:lang w:val="en-US"/>
        </w:rPr>
        <w:t>. Oxford University Press.</w:t>
      </w:r>
    </w:p>
    <w:p w14:paraId="7DF4D1CD" w14:textId="77777777" w:rsidR="007B62B6" w:rsidRPr="007B62B6" w:rsidRDefault="007B62B6" w:rsidP="007B62B6">
      <w:pPr>
        <w:pStyle w:val="Bibliography"/>
        <w:rPr>
          <w:rFonts w:cs="Arial"/>
          <w:lang w:val="en-US"/>
        </w:rPr>
      </w:pPr>
      <w:r w:rsidRPr="007B62B6">
        <w:rPr>
          <w:rFonts w:cs="Arial"/>
          <w:lang w:val="en-US"/>
        </w:rPr>
        <w:t xml:space="preserve">Dunbar, R. I. M. (2009). The social brain hypothesis and its implications for social evolution. </w:t>
      </w:r>
      <w:r w:rsidRPr="007B62B6">
        <w:rPr>
          <w:rFonts w:cs="Arial"/>
          <w:i/>
          <w:iCs/>
          <w:lang w:val="en-US"/>
        </w:rPr>
        <w:t>Annals of Human Biology</w:t>
      </w:r>
      <w:r w:rsidRPr="007B62B6">
        <w:rPr>
          <w:rFonts w:cs="Arial"/>
          <w:lang w:val="en-US"/>
        </w:rPr>
        <w:t xml:space="preserve">, </w:t>
      </w:r>
      <w:r w:rsidRPr="007B62B6">
        <w:rPr>
          <w:rFonts w:cs="Arial"/>
          <w:i/>
          <w:iCs/>
          <w:lang w:val="en-US"/>
        </w:rPr>
        <w:t>36</w:t>
      </w:r>
      <w:r w:rsidRPr="007B62B6">
        <w:rPr>
          <w:rFonts w:cs="Arial"/>
          <w:lang w:val="en-US"/>
        </w:rPr>
        <w:t>(5), 562–572. https://doi.org/10.1080/03014460902960289</w:t>
      </w:r>
    </w:p>
    <w:p w14:paraId="3421AE38" w14:textId="77777777" w:rsidR="007B62B6" w:rsidRPr="007B62B6" w:rsidRDefault="007B62B6" w:rsidP="007B62B6">
      <w:pPr>
        <w:pStyle w:val="Bibliography"/>
        <w:rPr>
          <w:rFonts w:cs="Arial"/>
          <w:lang w:val="en-US"/>
        </w:rPr>
      </w:pPr>
      <w:r w:rsidRPr="007B62B6">
        <w:rPr>
          <w:rFonts w:cs="Arial"/>
          <w:lang w:val="en-US"/>
        </w:rPr>
        <w:t xml:space="preserve">Egnor, S. E. R., &amp; Branson, K. (2016). Computational Analysis of Behavior. </w:t>
      </w:r>
      <w:r w:rsidRPr="007B62B6">
        <w:rPr>
          <w:rFonts w:cs="Arial"/>
          <w:i/>
          <w:iCs/>
          <w:lang w:val="en-US"/>
        </w:rPr>
        <w:t>Annual Review of Neuroscience</w:t>
      </w:r>
      <w:r w:rsidRPr="007B62B6">
        <w:rPr>
          <w:rFonts w:cs="Arial"/>
          <w:lang w:val="en-US"/>
        </w:rPr>
        <w:t xml:space="preserve">, </w:t>
      </w:r>
      <w:r w:rsidRPr="007B62B6">
        <w:rPr>
          <w:rFonts w:cs="Arial"/>
          <w:i/>
          <w:iCs/>
          <w:lang w:val="en-US"/>
        </w:rPr>
        <w:t>39</w:t>
      </w:r>
      <w:r w:rsidRPr="007B62B6">
        <w:rPr>
          <w:rFonts w:cs="Arial"/>
          <w:lang w:val="en-US"/>
        </w:rPr>
        <w:t>(Volume 39, 2016), 217–236. https://doi.org/10.1146/annurev-neuro-070815-013845</w:t>
      </w:r>
    </w:p>
    <w:p w14:paraId="0B2560DB" w14:textId="77777777" w:rsidR="007B62B6" w:rsidRPr="007B62B6" w:rsidRDefault="007B62B6" w:rsidP="007B62B6">
      <w:pPr>
        <w:pStyle w:val="Bibliography"/>
        <w:rPr>
          <w:rFonts w:cs="Arial"/>
          <w:lang w:val="en-US"/>
        </w:rPr>
      </w:pPr>
      <w:r w:rsidRPr="007B62B6">
        <w:rPr>
          <w:rFonts w:cs="Arial"/>
          <w:lang w:val="en-US"/>
        </w:rPr>
        <w:t xml:space="preserve">Eichenbaum, H. (2017). Time (and space) in the hippocampus. </w:t>
      </w:r>
      <w:r w:rsidRPr="007B62B6">
        <w:rPr>
          <w:rFonts w:cs="Arial"/>
          <w:i/>
          <w:iCs/>
          <w:lang w:val="en-US"/>
        </w:rPr>
        <w:t>Current Opinion in Behavioral Sciences</w:t>
      </w:r>
      <w:r w:rsidRPr="007B62B6">
        <w:rPr>
          <w:rFonts w:cs="Arial"/>
          <w:lang w:val="en-US"/>
        </w:rPr>
        <w:t xml:space="preserve">, </w:t>
      </w:r>
      <w:r w:rsidRPr="007B62B6">
        <w:rPr>
          <w:rFonts w:cs="Arial"/>
          <w:i/>
          <w:iCs/>
          <w:lang w:val="en-US"/>
        </w:rPr>
        <w:t>17</w:t>
      </w:r>
      <w:r w:rsidRPr="007B62B6">
        <w:rPr>
          <w:rFonts w:cs="Arial"/>
          <w:lang w:val="en-US"/>
        </w:rPr>
        <w:t>, 65–70. https://doi.org/10.1016/j.cobeha.2017.06.010</w:t>
      </w:r>
    </w:p>
    <w:p w14:paraId="3401621D" w14:textId="77777777" w:rsidR="007B62B6" w:rsidRPr="007B62B6" w:rsidRDefault="007B62B6" w:rsidP="007B62B6">
      <w:pPr>
        <w:pStyle w:val="Bibliography"/>
        <w:rPr>
          <w:rFonts w:cs="Arial"/>
          <w:lang w:val="en-US"/>
        </w:rPr>
      </w:pPr>
      <w:r w:rsidRPr="007B62B6">
        <w:rPr>
          <w:rFonts w:cs="Arial"/>
          <w:lang w:val="en-US"/>
        </w:rPr>
        <w:t xml:space="preserve">Fanselow, M. S., &amp; Dong, H.-W. (2010). Are the Dorsal and Ventral Hippocampus Functionally Distinct Structures? </w:t>
      </w:r>
      <w:r w:rsidRPr="007B62B6">
        <w:rPr>
          <w:rFonts w:cs="Arial"/>
          <w:i/>
          <w:iCs/>
          <w:lang w:val="en-US"/>
        </w:rPr>
        <w:t>Neuron</w:t>
      </w:r>
      <w:r w:rsidRPr="007B62B6">
        <w:rPr>
          <w:rFonts w:cs="Arial"/>
          <w:lang w:val="en-US"/>
        </w:rPr>
        <w:t xml:space="preserve">, </w:t>
      </w:r>
      <w:r w:rsidRPr="007B62B6">
        <w:rPr>
          <w:rFonts w:cs="Arial"/>
          <w:i/>
          <w:iCs/>
          <w:lang w:val="en-US"/>
        </w:rPr>
        <w:t>65</w:t>
      </w:r>
      <w:r w:rsidRPr="007B62B6">
        <w:rPr>
          <w:rFonts w:cs="Arial"/>
          <w:lang w:val="en-US"/>
        </w:rPr>
        <w:t>(1), 7–19. https://doi.org/10.1016/j.neuron.2009.11.031</w:t>
      </w:r>
    </w:p>
    <w:p w14:paraId="341DC0FC" w14:textId="77777777" w:rsidR="007B62B6" w:rsidRPr="007B62B6" w:rsidRDefault="007B62B6" w:rsidP="007B62B6">
      <w:pPr>
        <w:pStyle w:val="Bibliography"/>
        <w:rPr>
          <w:rFonts w:cs="Arial"/>
          <w:lang w:val="en-US"/>
        </w:rPr>
      </w:pPr>
      <w:r w:rsidRPr="007B62B6">
        <w:rPr>
          <w:rFonts w:cs="Arial"/>
          <w:lang w:val="en-US"/>
        </w:rPr>
        <w:t xml:space="preserve">Fivush, R., &amp; Grysman, A. (2023). Accuracy and reconstruction in autobiographical memory: (Re)consolidating neuroscience and sociocultural developmental approaches. </w:t>
      </w:r>
      <w:r w:rsidRPr="007B62B6">
        <w:rPr>
          <w:rFonts w:cs="Arial"/>
          <w:i/>
          <w:iCs/>
          <w:lang w:val="en-US"/>
        </w:rPr>
        <w:t>WIREs Cognitive Science</w:t>
      </w:r>
      <w:r w:rsidRPr="007B62B6">
        <w:rPr>
          <w:rFonts w:cs="Arial"/>
          <w:lang w:val="en-US"/>
        </w:rPr>
        <w:t xml:space="preserve">, </w:t>
      </w:r>
      <w:r w:rsidRPr="007B62B6">
        <w:rPr>
          <w:rFonts w:cs="Arial"/>
          <w:i/>
          <w:iCs/>
          <w:lang w:val="en-US"/>
        </w:rPr>
        <w:t>14</w:t>
      </w:r>
      <w:r w:rsidRPr="007B62B6">
        <w:rPr>
          <w:rFonts w:cs="Arial"/>
          <w:lang w:val="en-US"/>
        </w:rPr>
        <w:t>(3), e1620. https://doi.org/10.1002/wcs.1620</w:t>
      </w:r>
    </w:p>
    <w:p w14:paraId="74816434" w14:textId="77777777" w:rsidR="007B62B6" w:rsidRPr="007B62B6" w:rsidRDefault="007B62B6" w:rsidP="007B62B6">
      <w:pPr>
        <w:pStyle w:val="Bibliography"/>
        <w:rPr>
          <w:rFonts w:cs="Arial"/>
          <w:lang w:val="en-US"/>
        </w:rPr>
      </w:pPr>
      <w:r w:rsidRPr="007B62B6">
        <w:rPr>
          <w:rFonts w:cs="Arial"/>
          <w:lang w:val="en-US"/>
        </w:rPr>
        <w:lastRenderedPageBreak/>
        <w:t xml:space="preserve">Insel, T. R., &amp; Fernald, R. D. (2004). How the brain processes social information: Searching for the social brain. </w:t>
      </w:r>
      <w:r w:rsidRPr="007B62B6">
        <w:rPr>
          <w:rFonts w:cs="Arial"/>
          <w:i/>
          <w:iCs/>
          <w:lang w:val="en-US"/>
        </w:rPr>
        <w:t>Annual Review of Neuroscience</w:t>
      </w:r>
      <w:r w:rsidRPr="007B62B6">
        <w:rPr>
          <w:rFonts w:cs="Arial"/>
          <w:lang w:val="en-US"/>
        </w:rPr>
        <w:t xml:space="preserve">, </w:t>
      </w:r>
      <w:r w:rsidRPr="007B62B6">
        <w:rPr>
          <w:rFonts w:cs="Arial"/>
          <w:i/>
          <w:iCs/>
          <w:lang w:val="en-US"/>
        </w:rPr>
        <w:t>27</w:t>
      </w:r>
      <w:r w:rsidRPr="007B62B6">
        <w:rPr>
          <w:rFonts w:cs="Arial"/>
          <w:lang w:val="en-US"/>
        </w:rPr>
        <w:t>, 697–722. https://doi.org/10.1146/annurev.neuro.27.070203.144148</w:t>
      </w:r>
    </w:p>
    <w:p w14:paraId="22EE04DF" w14:textId="77777777" w:rsidR="007B62B6" w:rsidRPr="007B62B6" w:rsidRDefault="007B62B6" w:rsidP="007B62B6">
      <w:pPr>
        <w:pStyle w:val="Bibliography"/>
        <w:rPr>
          <w:rFonts w:cs="Arial"/>
          <w:lang w:val="en-US"/>
        </w:rPr>
      </w:pPr>
      <w:r w:rsidRPr="007B62B6">
        <w:rPr>
          <w:rFonts w:cs="Arial"/>
          <w:lang w:val="en-US"/>
        </w:rPr>
        <w:t xml:space="preserve">Kandel, E. R., Koester, J., Mack, S., &amp; Siegelbaum, S. (Org.). (2021). </w:t>
      </w:r>
      <w:r w:rsidRPr="007B62B6">
        <w:rPr>
          <w:rFonts w:cs="Arial"/>
          <w:i/>
          <w:iCs/>
          <w:lang w:val="en-US"/>
        </w:rPr>
        <w:t>Principles of neural science</w:t>
      </w:r>
      <w:r w:rsidRPr="007B62B6">
        <w:rPr>
          <w:rFonts w:cs="Arial"/>
          <w:lang w:val="en-US"/>
        </w:rPr>
        <w:t xml:space="preserve"> (Sixth edition). McGraw Hill.</w:t>
      </w:r>
    </w:p>
    <w:p w14:paraId="203D9ABB" w14:textId="77777777" w:rsidR="007B62B6" w:rsidRPr="007B62B6" w:rsidRDefault="007B62B6" w:rsidP="007B62B6">
      <w:pPr>
        <w:pStyle w:val="Bibliography"/>
        <w:rPr>
          <w:rFonts w:cs="Arial"/>
          <w:lang w:val="en-US"/>
        </w:rPr>
      </w:pPr>
      <w:r w:rsidRPr="007B62B6">
        <w:rPr>
          <w:rFonts w:cs="Arial"/>
          <w:lang w:val="en-US"/>
        </w:rPr>
        <w:t xml:space="preserve">Knierim, J. J. (2015). The hippocampus. </w:t>
      </w:r>
      <w:r w:rsidRPr="007B62B6">
        <w:rPr>
          <w:rFonts w:cs="Arial"/>
          <w:i/>
          <w:iCs/>
          <w:lang w:val="en-US"/>
        </w:rPr>
        <w:t>Current Biology</w:t>
      </w:r>
      <w:r w:rsidRPr="007B62B6">
        <w:rPr>
          <w:rFonts w:cs="Arial"/>
          <w:lang w:val="en-US"/>
        </w:rPr>
        <w:t xml:space="preserve">, </w:t>
      </w:r>
      <w:r w:rsidRPr="007B62B6">
        <w:rPr>
          <w:rFonts w:cs="Arial"/>
          <w:i/>
          <w:iCs/>
          <w:lang w:val="en-US"/>
        </w:rPr>
        <w:t>25</w:t>
      </w:r>
      <w:r w:rsidRPr="007B62B6">
        <w:rPr>
          <w:rFonts w:cs="Arial"/>
          <w:lang w:val="en-US"/>
        </w:rPr>
        <w:t>(23), R1116–R1121. https://doi.org/10.1016/j.cub.2015.10.049</w:t>
      </w:r>
    </w:p>
    <w:p w14:paraId="7665C8DA" w14:textId="77777777" w:rsidR="007B62B6" w:rsidRPr="007B62B6" w:rsidRDefault="007B62B6" w:rsidP="007B62B6">
      <w:pPr>
        <w:pStyle w:val="Bibliography"/>
        <w:rPr>
          <w:rFonts w:cs="Arial"/>
          <w:lang w:val="en-US"/>
        </w:rPr>
      </w:pPr>
      <w:r w:rsidRPr="007B62B6">
        <w:rPr>
          <w:rFonts w:cs="Arial"/>
          <w:lang w:val="en-US"/>
        </w:rPr>
        <w:t xml:space="preserve">Lieberman, M. D. (2013). </w:t>
      </w:r>
      <w:r w:rsidRPr="007B62B6">
        <w:rPr>
          <w:rFonts w:cs="Arial"/>
          <w:i/>
          <w:iCs/>
          <w:lang w:val="en-US"/>
        </w:rPr>
        <w:t>Social: Why our brains are wired to connect</w:t>
      </w:r>
      <w:r w:rsidRPr="007B62B6">
        <w:rPr>
          <w:rFonts w:cs="Arial"/>
          <w:lang w:val="en-US"/>
        </w:rPr>
        <w:t xml:space="preserve"> (p. x, 374). Crown Publishers/Random House.</w:t>
      </w:r>
    </w:p>
    <w:p w14:paraId="39D759FE" w14:textId="77777777" w:rsidR="007B62B6" w:rsidRPr="007B62B6" w:rsidRDefault="007B62B6" w:rsidP="007B62B6">
      <w:pPr>
        <w:pStyle w:val="Bibliography"/>
        <w:rPr>
          <w:rFonts w:cs="Arial"/>
          <w:lang w:val="en-US"/>
        </w:rPr>
      </w:pPr>
      <w:r w:rsidRPr="007B62B6">
        <w:rPr>
          <w:rFonts w:cs="Arial"/>
          <w:lang w:val="en-US"/>
        </w:rPr>
        <w:t xml:space="preserve">Lunardi, P., Mansk, L. M. Z., Jaimes, L. F., &amp; Pereira, G. S. (2021). On the novel mechanisms for social memory and the emerging role of neurogenesis. </w:t>
      </w:r>
      <w:r w:rsidRPr="007B62B6">
        <w:rPr>
          <w:rFonts w:cs="Arial"/>
          <w:i/>
          <w:iCs/>
          <w:lang w:val="en-US"/>
        </w:rPr>
        <w:t>Brain Research Bulletin</w:t>
      </w:r>
      <w:r w:rsidRPr="007B62B6">
        <w:rPr>
          <w:rFonts w:cs="Arial"/>
          <w:lang w:val="en-US"/>
        </w:rPr>
        <w:t xml:space="preserve">, </w:t>
      </w:r>
      <w:r w:rsidRPr="007B62B6">
        <w:rPr>
          <w:rFonts w:cs="Arial"/>
          <w:i/>
          <w:iCs/>
          <w:lang w:val="en-US"/>
        </w:rPr>
        <w:t>171</w:t>
      </w:r>
      <w:r w:rsidRPr="007B62B6">
        <w:rPr>
          <w:rFonts w:cs="Arial"/>
          <w:lang w:val="en-US"/>
        </w:rPr>
        <w:t>, 56–66. https://doi.org/10.1016/j.brainresbull.2021.03.006</w:t>
      </w:r>
    </w:p>
    <w:p w14:paraId="15A4366C" w14:textId="77777777" w:rsidR="007B62B6" w:rsidRPr="007B62B6" w:rsidRDefault="007B62B6" w:rsidP="007B62B6">
      <w:pPr>
        <w:pStyle w:val="Bibliography"/>
        <w:rPr>
          <w:rFonts w:cs="Arial"/>
          <w:lang w:val="en-US"/>
        </w:rPr>
      </w:pPr>
      <w:r w:rsidRPr="007B62B6">
        <w:rPr>
          <w:rFonts w:cs="Arial"/>
          <w:lang w:val="en-US"/>
        </w:rPr>
        <w:t xml:space="preserve">Markowitsch, H. J., &amp; Staniloiu, A. (2011). Memory, autonoetic consciousness, and the self. </w:t>
      </w:r>
      <w:r w:rsidRPr="007B62B6">
        <w:rPr>
          <w:rFonts w:cs="Arial"/>
          <w:i/>
          <w:iCs/>
          <w:lang w:val="en-US"/>
        </w:rPr>
        <w:t>Consciousness and Cognition</w:t>
      </w:r>
      <w:r w:rsidRPr="007B62B6">
        <w:rPr>
          <w:rFonts w:cs="Arial"/>
          <w:lang w:val="en-US"/>
        </w:rPr>
        <w:t xml:space="preserve">, </w:t>
      </w:r>
      <w:r w:rsidRPr="007B62B6">
        <w:rPr>
          <w:rFonts w:cs="Arial"/>
          <w:i/>
          <w:iCs/>
          <w:lang w:val="en-US"/>
        </w:rPr>
        <w:t>20</w:t>
      </w:r>
      <w:r w:rsidRPr="007B62B6">
        <w:rPr>
          <w:rFonts w:cs="Arial"/>
          <w:lang w:val="en-US"/>
        </w:rPr>
        <w:t>(1), 16–39. https://doi.org/10.1016/j.concog.2010.09.005</w:t>
      </w:r>
    </w:p>
    <w:p w14:paraId="57C89C35" w14:textId="77777777" w:rsidR="007B62B6" w:rsidRPr="007B62B6" w:rsidRDefault="007B62B6" w:rsidP="007B62B6">
      <w:pPr>
        <w:pStyle w:val="Bibliography"/>
        <w:rPr>
          <w:rFonts w:cs="Arial"/>
          <w:lang w:val="en-US"/>
        </w:rPr>
      </w:pPr>
      <w:r w:rsidRPr="007B62B6">
        <w:rPr>
          <w:rFonts w:cs="Arial"/>
          <w:lang w:val="en-US"/>
        </w:rPr>
        <w:t xml:space="preserve">Mathis, A., Mamidanna, P., Cury, K. M., Abe, T., Murthy, V. N., Mathis, M. W., &amp; Bethge, M. (2018). DeepLabCut: Markerless pose estimation of user-defined body parts with deep learning. </w:t>
      </w:r>
      <w:r w:rsidRPr="007B62B6">
        <w:rPr>
          <w:rFonts w:cs="Arial"/>
          <w:i/>
          <w:iCs/>
          <w:lang w:val="en-US"/>
        </w:rPr>
        <w:t>Nature Neuroscience</w:t>
      </w:r>
      <w:r w:rsidRPr="007B62B6">
        <w:rPr>
          <w:rFonts w:cs="Arial"/>
          <w:lang w:val="en-US"/>
        </w:rPr>
        <w:t xml:space="preserve">, </w:t>
      </w:r>
      <w:r w:rsidRPr="007B62B6">
        <w:rPr>
          <w:rFonts w:cs="Arial"/>
          <w:i/>
          <w:iCs/>
          <w:lang w:val="en-US"/>
        </w:rPr>
        <w:t>21</w:t>
      </w:r>
      <w:r w:rsidRPr="007B62B6">
        <w:rPr>
          <w:rFonts w:cs="Arial"/>
          <w:lang w:val="en-US"/>
        </w:rPr>
        <w:t>(9), 1281–1289. https://doi.org/10.1038/s41593-018-0209-y</w:t>
      </w:r>
    </w:p>
    <w:p w14:paraId="461D8854" w14:textId="77777777" w:rsidR="007B62B6" w:rsidRPr="007B62B6" w:rsidRDefault="007B62B6" w:rsidP="007B62B6">
      <w:pPr>
        <w:pStyle w:val="Bibliography"/>
        <w:rPr>
          <w:rFonts w:cs="Arial"/>
          <w:lang w:val="en-US"/>
        </w:rPr>
      </w:pPr>
      <w:r w:rsidRPr="007B62B6">
        <w:rPr>
          <w:rFonts w:cs="Arial"/>
          <w:lang w:val="en-US"/>
        </w:rPr>
        <w:t xml:space="preserve">Moser, E. I., Kropff, E., &amp; Moser, M.-B. (2008). Place cells, grid cells, and the brain’s spatial representation system. </w:t>
      </w:r>
      <w:r w:rsidRPr="007B62B6">
        <w:rPr>
          <w:rFonts w:cs="Arial"/>
          <w:i/>
          <w:iCs/>
          <w:lang w:val="en-US"/>
        </w:rPr>
        <w:t>Annual Review of Neuroscience</w:t>
      </w:r>
      <w:r w:rsidRPr="007B62B6">
        <w:rPr>
          <w:rFonts w:cs="Arial"/>
          <w:lang w:val="en-US"/>
        </w:rPr>
        <w:t xml:space="preserve">, </w:t>
      </w:r>
      <w:r w:rsidRPr="007B62B6">
        <w:rPr>
          <w:rFonts w:cs="Arial"/>
          <w:i/>
          <w:iCs/>
          <w:lang w:val="en-US"/>
        </w:rPr>
        <w:t>31</w:t>
      </w:r>
      <w:r w:rsidRPr="007B62B6">
        <w:rPr>
          <w:rFonts w:cs="Arial"/>
          <w:lang w:val="en-US"/>
        </w:rPr>
        <w:t>, 69–89. https://doi.org/10.1146/annurev.neuro.31.061307.090723</w:t>
      </w:r>
    </w:p>
    <w:p w14:paraId="7603C7A5" w14:textId="77777777" w:rsidR="007B62B6" w:rsidRPr="007B62B6" w:rsidRDefault="007B62B6" w:rsidP="007B62B6">
      <w:pPr>
        <w:pStyle w:val="Bibliography"/>
        <w:rPr>
          <w:rFonts w:cs="Arial"/>
          <w:lang w:val="en-US"/>
        </w:rPr>
      </w:pPr>
      <w:r w:rsidRPr="007B62B6">
        <w:rPr>
          <w:rFonts w:cs="Arial"/>
          <w:lang w:val="en-US"/>
        </w:rPr>
        <w:lastRenderedPageBreak/>
        <w:t xml:space="preserve">Nath, T., Mathis, A., Chen, A. C., Patel, A., Bethge, M., &amp; Mathis, M. W. (2019). Using DeepLabCut for 3D markerless pose estimation across species and behaviors. </w:t>
      </w:r>
      <w:r w:rsidRPr="007B62B6">
        <w:rPr>
          <w:rFonts w:cs="Arial"/>
          <w:i/>
          <w:iCs/>
          <w:lang w:val="en-US"/>
        </w:rPr>
        <w:t>Nature Protocols</w:t>
      </w:r>
      <w:r w:rsidRPr="007B62B6">
        <w:rPr>
          <w:rFonts w:cs="Arial"/>
          <w:lang w:val="en-US"/>
        </w:rPr>
        <w:t xml:space="preserve">, </w:t>
      </w:r>
      <w:r w:rsidRPr="007B62B6">
        <w:rPr>
          <w:rFonts w:cs="Arial"/>
          <w:i/>
          <w:iCs/>
          <w:lang w:val="en-US"/>
        </w:rPr>
        <w:t>14</w:t>
      </w:r>
      <w:r w:rsidRPr="007B62B6">
        <w:rPr>
          <w:rFonts w:cs="Arial"/>
          <w:lang w:val="en-US"/>
        </w:rPr>
        <w:t>(7), 2152–2176. https://doi.org/10.1038/s41596-019-0176-0</w:t>
      </w:r>
    </w:p>
    <w:p w14:paraId="0A0EE993" w14:textId="77777777" w:rsidR="007B62B6" w:rsidRPr="007B62B6" w:rsidRDefault="007B62B6" w:rsidP="007B62B6">
      <w:pPr>
        <w:pStyle w:val="Bibliography"/>
        <w:rPr>
          <w:rFonts w:cs="Arial"/>
          <w:lang w:val="en-US"/>
        </w:rPr>
      </w:pPr>
      <w:r w:rsidRPr="007B62B6">
        <w:rPr>
          <w:rFonts w:cs="Arial"/>
          <w:lang w:val="en-US"/>
        </w:rPr>
        <w:t xml:space="preserve">Okuyama, T. (2018). Social memory engram in the hippocampus. </w:t>
      </w:r>
      <w:r w:rsidRPr="007B62B6">
        <w:rPr>
          <w:rFonts w:cs="Arial"/>
          <w:i/>
          <w:iCs/>
          <w:lang w:val="en-US"/>
        </w:rPr>
        <w:t>Neuroscience Research</w:t>
      </w:r>
      <w:r w:rsidRPr="007B62B6">
        <w:rPr>
          <w:rFonts w:cs="Arial"/>
          <w:lang w:val="en-US"/>
        </w:rPr>
        <w:t xml:space="preserve">, </w:t>
      </w:r>
      <w:r w:rsidRPr="007B62B6">
        <w:rPr>
          <w:rFonts w:cs="Arial"/>
          <w:i/>
          <w:iCs/>
          <w:lang w:val="en-US"/>
        </w:rPr>
        <w:t>129</w:t>
      </w:r>
      <w:r w:rsidRPr="007B62B6">
        <w:rPr>
          <w:rFonts w:cs="Arial"/>
          <w:lang w:val="en-US"/>
        </w:rPr>
        <w:t>, 17–23. https://doi.org/10.1016/j.neures.2017.05.007</w:t>
      </w:r>
    </w:p>
    <w:p w14:paraId="79235DC7" w14:textId="77777777" w:rsidR="007B62B6" w:rsidRPr="007B62B6" w:rsidRDefault="007B62B6" w:rsidP="007B62B6">
      <w:pPr>
        <w:pStyle w:val="Bibliography"/>
        <w:rPr>
          <w:rFonts w:cs="Arial"/>
          <w:lang w:val="en-US"/>
        </w:rPr>
      </w:pPr>
      <w:r w:rsidRPr="007B62B6">
        <w:rPr>
          <w:rFonts w:cs="Arial"/>
        </w:rPr>
        <w:t xml:space="preserve">Pereira-Caixeta, A. R., Guarnieri, L. O., Medeiros, D. C., Mendes, E. M. A. M., Ladeira, L. C. D., Pereira, M. T., Moraes, M. F. D., &amp; Pereira, G. S. (2018). </w:t>
      </w:r>
      <w:r w:rsidRPr="007B62B6">
        <w:rPr>
          <w:rFonts w:cs="Arial"/>
          <w:lang w:val="en-US"/>
        </w:rPr>
        <w:t xml:space="preserve">Inhibiting constitutive neurogenesis compromises long-term social recognition memory. </w:t>
      </w:r>
      <w:r w:rsidRPr="007B62B6">
        <w:rPr>
          <w:rFonts w:cs="Arial"/>
          <w:i/>
          <w:iCs/>
          <w:lang w:val="en-US"/>
        </w:rPr>
        <w:t>Neurobiology of Learning and Memory</w:t>
      </w:r>
      <w:r w:rsidRPr="007B62B6">
        <w:rPr>
          <w:rFonts w:cs="Arial"/>
          <w:lang w:val="en-US"/>
        </w:rPr>
        <w:t xml:space="preserve">, </w:t>
      </w:r>
      <w:r w:rsidRPr="007B62B6">
        <w:rPr>
          <w:rFonts w:cs="Arial"/>
          <w:i/>
          <w:iCs/>
          <w:lang w:val="en-US"/>
        </w:rPr>
        <w:t>155</w:t>
      </w:r>
      <w:r w:rsidRPr="007B62B6">
        <w:rPr>
          <w:rFonts w:cs="Arial"/>
          <w:lang w:val="en-US"/>
        </w:rPr>
        <w:t>, 92–103. https://doi.org/10.1016/j.nlm.2018.06.014</w:t>
      </w:r>
    </w:p>
    <w:p w14:paraId="5CD19008" w14:textId="77777777" w:rsidR="007B62B6" w:rsidRPr="007B62B6" w:rsidRDefault="007B62B6" w:rsidP="007B62B6">
      <w:pPr>
        <w:pStyle w:val="Bibliography"/>
        <w:rPr>
          <w:rFonts w:cs="Arial"/>
          <w:lang w:val="en-US"/>
        </w:rPr>
      </w:pPr>
      <w:r w:rsidRPr="007B62B6">
        <w:rPr>
          <w:rFonts w:cs="Arial"/>
        </w:rPr>
        <w:t xml:space="preserve">Pereira-Caixeta, A. R., Guarnieri, L. O., Pena, R. R., Dias, T. L., &amp; Pereira, G. S. (2016). </w:t>
      </w:r>
      <w:r w:rsidRPr="007B62B6">
        <w:rPr>
          <w:rFonts w:cs="Arial"/>
          <w:lang w:val="en-US"/>
        </w:rPr>
        <w:t xml:space="preserve">Neurogenesis Inhibition Prevents Enriched Environment to Prolong and Strengthen Social Recognition Memory, But Not to Increase BDNF Expression. </w:t>
      </w:r>
      <w:r w:rsidRPr="007B62B6">
        <w:rPr>
          <w:rFonts w:cs="Arial"/>
          <w:i/>
          <w:iCs/>
          <w:lang w:val="en-US"/>
        </w:rPr>
        <w:t>Molecular Neurobiology</w:t>
      </w:r>
      <w:r w:rsidRPr="007B62B6">
        <w:rPr>
          <w:rFonts w:cs="Arial"/>
          <w:lang w:val="en-US"/>
        </w:rPr>
        <w:t xml:space="preserve">, </w:t>
      </w:r>
      <w:r w:rsidRPr="007B62B6">
        <w:rPr>
          <w:rFonts w:cs="Arial"/>
          <w:i/>
          <w:iCs/>
          <w:lang w:val="en-US"/>
        </w:rPr>
        <w:t>54</w:t>
      </w:r>
      <w:r w:rsidRPr="007B62B6">
        <w:rPr>
          <w:rFonts w:cs="Arial"/>
          <w:lang w:val="en-US"/>
        </w:rPr>
        <w:t>(5), 3309–3316. https://doi.org/10.1007/s12035-016-9922-2</w:t>
      </w:r>
    </w:p>
    <w:p w14:paraId="6E8F5CBE" w14:textId="77777777" w:rsidR="007B62B6" w:rsidRPr="007B62B6" w:rsidRDefault="007B62B6" w:rsidP="007B62B6">
      <w:pPr>
        <w:pStyle w:val="Bibliography"/>
        <w:rPr>
          <w:rFonts w:cs="Arial"/>
          <w:lang w:val="en-US"/>
        </w:rPr>
      </w:pPr>
      <w:r w:rsidRPr="007B62B6">
        <w:rPr>
          <w:rFonts w:cs="Arial"/>
          <w:lang w:val="en-US"/>
        </w:rPr>
        <w:t xml:space="preserve">Perna, J. C., Wotjak, C. T., Stork, O., &amp; Engelmann, M. (2015). Timing of presentation and nature of stimuli determine retroactive interference with social recognition memory in mice. </w:t>
      </w:r>
      <w:r w:rsidRPr="007B62B6">
        <w:rPr>
          <w:rFonts w:cs="Arial"/>
          <w:i/>
          <w:iCs/>
          <w:lang w:val="en-US"/>
        </w:rPr>
        <w:t>Physiology &amp;amp; Behavior</w:t>
      </w:r>
      <w:r w:rsidRPr="007B62B6">
        <w:rPr>
          <w:rFonts w:cs="Arial"/>
          <w:lang w:val="en-US"/>
        </w:rPr>
        <w:t xml:space="preserve">, </w:t>
      </w:r>
      <w:r w:rsidRPr="007B62B6">
        <w:rPr>
          <w:rFonts w:cs="Arial"/>
          <w:i/>
          <w:iCs/>
          <w:lang w:val="en-US"/>
        </w:rPr>
        <w:t>143</w:t>
      </w:r>
      <w:r w:rsidRPr="007B62B6">
        <w:rPr>
          <w:rFonts w:cs="Arial"/>
          <w:lang w:val="en-US"/>
        </w:rPr>
        <w:t>, 10–14. https://doi.org/10.1016/j.physbeh.2015.02.029</w:t>
      </w:r>
    </w:p>
    <w:p w14:paraId="0CE5DD10" w14:textId="77777777" w:rsidR="007B62B6" w:rsidRPr="007B62B6" w:rsidRDefault="007B62B6" w:rsidP="007B62B6">
      <w:pPr>
        <w:pStyle w:val="Bibliography"/>
        <w:rPr>
          <w:rFonts w:cs="Arial"/>
          <w:lang w:val="en-US"/>
        </w:rPr>
      </w:pPr>
      <w:r w:rsidRPr="007B62B6">
        <w:rPr>
          <w:rFonts w:cs="Arial"/>
          <w:lang w:val="en-US"/>
        </w:rPr>
        <w:t xml:space="preserve">Rubin, D. C. (2005). A Basic-Systems Approach to Autobiographical Memory. </w:t>
      </w:r>
      <w:r w:rsidRPr="007B62B6">
        <w:rPr>
          <w:rFonts w:cs="Arial"/>
          <w:i/>
          <w:iCs/>
          <w:lang w:val="en-US"/>
        </w:rPr>
        <w:t>Current Directions in Psychological Science</w:t>
      </w:r>
      <w:r w:rsidRPr="007B62B6">
        <w:rPr>
          <w:rFonts w:cs="Arial"/>
          <w:lang w:val="en-US"/>
        </w:rPr>
        <w:t xml:space="preserve">, </w:t>
      </w:r>
      <w:r w:rsidRPr="007B62B6">
        <w:rPr>
          <w:rFonts w:cs="Arial"/>
          <w:i/>
          <w:iCs/>
          <w:lang w:val="en-US"/>
        </w:rPr>
        <w:t>14</w:t>
      </w:r>
      <w:r w:rsidRPr="007B62B6">
        <w:rPr>
          <w:rFonts w:cs="Arial"/>
          <w:lang w:val="en-US"/>
        </w:rPr>
        <w:t>(2), 79–83. https://doi.org/10.1111/j.0963-7214.2005.00339.x</w:t>
      </w:r>
    </w:p>
    <w:p w14:paraId="695E61FD" w14:textId="77777777" w:rsidR="007B62B6" w:rsidRPr="007B62B6" w:rsidRDefault="007B62B6" w:rsidP="007B62B6">
      <w:pPr>
        <w:pStyle w:val="Bibliography"/>
        <w:rPr>
          <w:rFonts w:cs="Arial"/>
        </w:rPr>
      </w:pPr>
      <w:r w:rsidRPr="007B62B6">
        <w:rPr>
          <w:rFonts w:cs="Arial"/>
          <w:lang w:val="en-US"/>
        </w:rPr>
        <w:lastRenderedPageBreak/>
        <w:t xml:space="preserve">Smith, D. M., &amp; Mizumori, S. J. Y. (2006). Hippocampal place cells, context, and episodic memory. </w:t>
      </w:r>
      <w:r w:rsidRPr="007B62B6">
        <w:rPr>
          <w:rFonts w:cs="Arial"/>
          <w:i/>
          <w:iCs/>
        </w:rPr>
        <w:t>Hippocampus</w:t>
      </w:r>
      <w:r w:rsidRPr="007B62B6">
        <w:rPr>
          <w:rFonts w:cs="Arial"/>
        </w:rPr>
        <w:t xml:space="preserve">, </w:t>
      </w:r>
      <w:r w:rsidRPr="007B62B6">
        <w:rPr>
          <w:rFonts w:cs="Arial"/>
          <w:i/>
          <w:iCs/>
        </w:rPr>
        <w:t>16</w:t>
      </w:r>
      <w:r w:rsidRPr="007B62B6">
        <w:rPr>
          <w:rFonts w:cs="Arial"/>
        </w:rPr>
        <w:t>(9), 716–729. https://doi.org/10.1002/hipo.20208</w:t>
      </w:r>
    </w:p>
    <w:p w14:paraId="64E20312" w14:textId="77777777" w:rsidR="007B62B6" w:rsidRPr="007B62B6" w:rsidRDefault="007B62B6" w:rsidP="007B62B6">
      <w:pPr>
        <w:pStyle w:val="Bibliography"/>
        <w:rPr>
          <w:rFonts w:cs="Arial"/>
          <w:lang w:val="en-US"/>
        </w:rPr>
      </w:pPr>
      <w:r w:rsidRPr="007B62B6">
        <w:rPr>
          <w:rFonts w:cs="Arial"/>
        </w:rPr>
        <w:t xml:space="preserve">Spreng, R. N., Mar, R. A., &amp; Kim, A. S. N. (2009). </w:t>
      </w:r>
      <w:r w:rsidRPr="007B62B6">
        <w:rPr>
          <w:rFonts w:cs="Arial"/>
          <w:lang w:val="en-US"/>
        </w:rPr>
        <w:t xml:space="preserve">The Common Neural Basis of Autobiographical Memory, Prospection, Navigation, Theory of Mind, and the Default Mode: A Quantitative Meta-analysis. </w:t>
      </w:r>
      <w:r w:rsidRPr="007B62B6">
        <w:rPr>
          <w:rFonts w:cs="Arial"/>
          <w:i/>
          <w:iCs/>
          <w:lang w:val="en-US"/>
        </w:rPr>
        <w:t>Journal of Cognitive Neuroscience</w:t>
      </w:r>
      <w:r w:rsidRPr="007B62B6">
        <w:rPr>
          <w:rFonts w:cs="Arial"/>
          <w:lang w:val="en-US"/>
        </w:rPr>
        <w:t xml:space="preserve">, </w:t>
      </w:r>
      <w:r w:rsidRPr="007B62B6">
        <w:rPr>
          <w:rFonts w:cs="Arial"/>
          <w:i/>
          <w:iCs/>
          <w:lang w:val="en-US"/>
        </w:rPr>
        <w:t>21</w:t>
      </w:r>
      <w:r w:rsidRPr="007B62B6">
        <w:rPr>
          <w:rFonts w:cs="Arial"/>
          <w:lang w:val="en-US"/>
        </w:rPr>
        <w:t>(3), 489–510. https://doi.org/10.1162/jocn.2008.21029</w:t>
      </w:r>
    </w:p>
    <w:p w14:paraId="4D9CB36A" w14:textId="77777777" w:rsidR="007B62B6" w:rsidRPr="007B62B6" w:rsidRDefault="007B62B6" w:rsidP="007B62B6">
      <w:pPr>
        <w:pStyle w:val="Bibliography"/>
        <w:rPr>
          <w:rFonts w:cs="Arial"/>
          <w:lang w:val="en-US"/>
        </w:rPr>
      </w:pPr>
      <w:r w:rsidRPr="007B62B6">
        <w:rPr>
          <w:rFonts w:cs="Arial"/>
          <w:lang w:val="en-US"/>
        </w:rPr>
        <w:t xml:space="preserve">Sugar, J., &amp; Moser, M. (2019). Episodic memory: Neuronal codes for what, where, and when. </w:t>
      </w:r>
      <w:r w:rsidRPr="007B62B6">
        <w:rPr>
          <w:rFonts w:cs="Arial"/>
          <w:i/>
          <w:iCs/>
          <w:lang w:val="en-US"/>
        </w:rPr>
        <w:t>Hippocampus</w:t>
      </w:r>
      <w:r w:rsidRPr="007B62B6">
        <w:rPr>
          <w:rFonts w:cs="Arial"/>
          <w:lang w:val="en-US"/>
        </w:rPr>
        <w:t xml:space="preserve">, </w:t>
      </w:r>
      <w:r w:rsidRPr="007B62B6">
        <w:rPr>
          <w:rFonts w:cs="Arial"/>
          <w:i/>
          <w:iCs/>
          <w:lang w:val="en-US"/>
        </w:rPr>
        <w:t>29</w:t>
      </w:r>
      <w:r w:rsidRPr="007B62B6">
        <w:rPr>
          <w:rFonts w:cs="Arial"/>
          <w:lang w:val="en-US"/>
        </w:rPr>
        <w:t>(12), 1190–1205. https://doi.org/10.1002/hipo.23132</w:t>
      </w:r>
    </w:p>
    <w:p w14:paraId="0F9BB63D" w14:textId="77777777" w:rsidR="007B62B6" w:rsidRPr="007B62B6" w:rsidRDefault="007B62B6" w:rsidP="007B62B6">
      <w:pPr>
        <w:pStyle w:val="Bibliography"/>
        <w:rPr>
          <w:rFonts w:cs="Arial"/>
          <w:lang w:val="en-US"/>
        </w:rPr>
      </w:pPr>
      <w:r w:rsidRPr="007B62B6">
        <w:rPr>
          <w:rFonts w:cs="Arial"/>
          <w:i/>
          <w:iCs/>
          <w:lang w:val="en-US"/>
        </w:rPr>
        <w:t>The Hippocampus book</w:t>
      </w:r>
      <w:r w:rsidRPr="007B62B6">
        <w:rPr>
          <w:rFonts w:cs="Arial"/>
          <w:lang w:val="en-US"/>
        </w:rPr>
        <w:t>. (2007). Oxford University Press.</w:t>
      </w:r>
    </w:p>
    <w:p w14:paraId="63AAF5A2" w14:textId="77777777" w:rsidR="007B62B6" w:rsidRPr="007B62B6" w:rsidRDefault="007B62B6" w:rsidP="007B62B6">
      <w:pPr>
        <w:pStyle w:val="Bibliography"/>
        <w:rPr>
          <w:rFonts w:cs="Arial"/>
          <w:lang w:val="en-US"/>
        </w:rPr>
      </w:pPr>
      <w:r w:rsidRPr="007B62B6">
        <w:rPr>
          <w:rFonts w:cs="Arial"/>
          <w:lang w:val="en-US"/>
        </w:rPr>
        <w:t xml:space="preserve">Tost, H., Champagne, F. A., &amp; Meyer-Lindenberg, A. (2015). Environmental influence in the brain, human welfare and mental health. </w:t>
      </w:r>
      <w:r w:rsidRPr="007B62B6">
        <w:rPr>
          <w:rFonts w:cs="Arial"/>
          <w:i/>
          <w:iCs/>
          <w:lang w:val="en-US"/>
        </w:rPr>
        <w:t>Nature Neuroscience</w:t>
      </w:r>
      <w:r w:rsidRPr="007B62B6">
        <w:rPr>
          <w:rFonts w:cs="Arial"/>
          <w:lang w:val="en-US"/>
        </w:rPr>
        <w:t xml:space="preserve">, </w:t>
      </w:r>
      <w:r w:rsidRPr="007B62B6">
        <w:rPr>
          <w:rFonts w:cs="Arial"/>
          <w:i/>
          <w:iCs/>
          <w:lang w:val="en-US"/>
        </w:rPr>
        <w:t>18</w:t>
      </w:r>
      <w:r w:rsidRPr="007B62B6">
        <w:rPr>
          <w:rFonts w:cs="Arial"/>
          <w:lang w:val="en-US"/>
        </w:rPr>
        <w:t>(10), 1421–1431. https://doi.org/10.1038/nn.4108</w:t>
      </w:r>
    </w:p>
    <w:p w14:paraId="309E3FE3" w14:textId="77777777" w:rsidR="007B62B6" w:rsidRPr="007B62B6" w:rsidRDefault="007B62B6" w:rsidP="007B62B6">
      <w:pPr>
        <w:pStyle w:val="Bibliography"/>
        <w:rPr>
          <w:rFonts w:cs="Arial"/>
          <w:lang w:val="en-US"/>
        </w:rPr>
      </w:pPr>
      <w:r w:rsidRPr="007B62B6">
        <w:rPr>
          <w:rFonts w:cs="Arial"/>
          <w:lang w:val="en-US"/>
        </w:rPr>
        <w:t xml:space="preserve">Tulving, E. (1992). </w:t>
      </w:r>
      <w:r w:rsidRPr="007B62B6">
        <w:rPr>
          <w:rFonts w:cs="Arial"/>
          <w:i/>
          <w:iCs/>
          <w:lang w:val="en-US"/>
        </w:rPr>
        <w:t>Elements of episodic memory</w:t>
      </w:r>
      <w:r w:rsidRPr="007B62B6">
        <w:rPr>
          <w:rFonts w:cs="Arial"/>
          <w:lang w:val="en-US"/>
        </w:rPr>
        <w:t xml:space="preserve"> (Reprinted). Clarendon Press.</w:t>
      </w:r>
    </w:p>
    <w:p w14:paraId="4205C0DB" w14:textId="77777777" w:rsidR="007B62B6" w:rsidRPr="007B62B6" w:rsidRDefault="007B62B6" w:rsidP="007B62B6">
      <w:pPr>
        <w:pStyle w:val="Bibliography"/>
        <w:rPr>
          <w:rFonts w:cs="Arial"/>
          <w:lang w:val="en-US"/>
        </w:rPr>
      </w:pPr>
      <w:r w:rsidRPr="007B62B6">
        <w:rPr>
          <w:rFonts w:cs="Arial"/>
          <w:lang w:val="en-US"/>
        </w:rPr>
        <w:t xml:space="preserve">Tulving, E. (2002). Episodic Memory: From Mind to Brain. </w:t>
      </w:r>
      <w:r w:rsidRPr="007B62B6">
        <w:rPr>
          <w:rFonts w:cs="Arial"/>
          <w:i/>
          <w:iCs/>
          <w:lang w:val="en-US"/>
        </w:rPr>
        <w:t>Annual Review of Psychology</w:t>
      </w:r>
      <w:r w:rsidRPr="007B62B6">
        <w:rPr>
          <w:rFonts w:cs="Arial"/>
          <w:lang w:val="en-US"/>
        </w:rPr>
        <w:t xml:space="preserve">, </w:t>
      </w:r>
      <w:r w:rsidRPr="007B62B6">
        <w:rPr>
          <w:rFonts w:cs="Arial"/>
          <w:i/>
          <w:iCs/>
          <w:lang w:val="en-US"/>
        </w:rPr>
        <w:t>53</w:t>
      </w:r>
      <w:r w:rsidRPr="007B62B6">
        <w:rPr>
          <w:rFonts w:cs="Arial"/>
          <w:lang w:val="en-US"/>
        </w:rPr>
        <w:t>(1), 1–25. https://doi.org/10.1146/annurev.psych.53.100901.135114</w:t>
      </w:r>
    </w:p>
    <w:p w14:paraId="71C45FC8" w14:textId="77777777" w:rsidR="007B62B6" w:rsidRPr="007B62B6" w:rsidRDefault="007B62B6" w:rsidP="007B62B6">
      <w:pPr>
        <w:pStyle w:val="Bibliography"/>
        <w:rPr>
          <w:rFonts w:cs="Arial"/>
        </w:rPr>
      </w:pPr>
      <w:r w:rsidRPr="007B62B6">
        <w:rPr>
          <w:rFonts w:cs="Arial"/>
          <w:lang w:val="en-US"/>
        </w:rPr>
        <w:t xml:space="preserve">Wu, W.-Y., Yiu, E., Ophir, A. G., &amp; Smith, D. M. (2023). Effects of social context manipulation on dorsal and ventral hippocampal neuronal responses. </w:t>
      </w:r>
      <w:r w:rsidRPr="007B62B6">
        <w:rPr>
          <w:rFonts w:cs="Arial"/>
          <w:i/>
          <w:iCs/>
        </w:rPr>
        <w:t>Hippocampus</w:t>
      </w:r>
      <w:r w:rsidRPr="007B62B6">
        <w:rPr>
          <w:rFonts w:cs="Arial"/>
        </w:rPr>
        <w:t xml:space="preserve">, </w:t>
      </w:r>
      <w:r w:rsidRPr="007B62B6">
        <w:rPr>
          <w:rFonts w:cs="Arial"/>
          <w:i/>
          <w:iCs/>
        </w:rPr>
        <w:t>33</w:t>
      </w:r>
      <w:r w:rsidRPr="007B62B6">
        <w:rPr>
          <w:rFonts w:cs="Arial"/>
        </w:rPr>
        <w:t>(7), 830–843. https://doi.org/10.1002/hipo.23507</w:t>
      </w:r>
    </w:p>
    <w:p w14:paraId="0A76D8EF" w14:textId="06CF10FC" w:rsidR="008D187E" w:rsidRDefault="006057BE" w:rsidP="008D187E">
      <w:r>
        <w:fldChar w:fldCharType="end"/>
      </w:r>
      <w:r w:rsidR="008D187E">
        <w:br w:type="page"/>
      </w:r>
    </w:p>
    <w:p w14:paraId="2142C28F" w14:textId="53C3EF49" w:rsidR="00446F78" w:rsidRDefault="008D187E" w:rsidP="008D187E">
      <w:pPr>
        <w:pStyle w:val="Heading1"/>
      </w:pPr>
      <w:r>
        <w:lastRenderedPageBreak/>
        <w:t>APÊNDICE</w:t>
      </w:r>
    </w:p>
    <w:p w14:paraId="1EBFA1B5" w14:textId="51329F64" w:rsidR="008D187E" w:rsidRDefault="008D187E" w:rsidP="008D187E">
      <w:pPr>
        <w:pStyle w:val="Heading2"/>
      </w:pPr>
      <w:r>
        <w:t>ADAPTAÇÃO DA TÉCNICA DE IMAGEAMENTO DE CÁLCIO UTILIZANDO MINISCOPES PARA UMA TAREFA DE RECONHECIMENTO SOCIAL</w:t>
      </w:r>
    </w:p>
    <w:p w14:paraId="1E19A41C" w14:textId="64D9DFF9" w:rsidR="008D187E" w:rsidRDefault="008D187E" w:rsidP="008D187E">
      <w:r>
        <w:tab/>
        <w:t xml:space="preserve">O desenvolvimento e aplicação de estudos que envolvem etologia em modelos murinos, envolvem a sua idealização, construção, aplicação e análise. Cada passo em si é um desafio, que, se torna progressivamente mais complexo à medida em que perguntas mais ambiciosas são feitas e demandam de técnicas </w:t>
      </w:r>
      <w:r w:rsidR="000325E6">
        <w:t>que sejam capazes de prover dados que suportem hipóteses robustas</w:t>
      </w:r>
      <w:r w:rsidR="007B62B6">
        <w:t xml:space="preserve"> </w:t>
      </w:r>
      <w:r w:rsidR="007B62B6" w:rsidRPr="007B62B6">
        <w:rPr>
          <w:highlight w:val="yellow"/>
        </w:rPr>
        <w:t>(REF?)</w:t>
      </w:r>
      <w:r w:rsidR="000325E6" w:rsidRPr="007B62B6">
        <w:rPr>
          <w:highlight w:val="yellow"/>
        </w:rPr>
        <w:t>.</w:t>
      </w:r>
      <w:r w:rsidR="000325E6">
        <w:t xml:space="preserve"> Nesse sentido, o reconhecimento social, como todo projeto de pesquisa que envolve o estudo de comportamento envolve o estímulo social e a investigação social, que no </w:t>
      </w:r>
      <w:r w:rsidR="000325E6" w:rsidRPr="00321CC4">
        <w:rPr>
          <w:highlight w:val="yellow"/>
        </w:rPr>
        <w:t>caso dessa dissertação</w:t>
      </w:r>
      <w:r w:rsidR="000325E6">
        <w:t xml:space="preserve"> foi quantificada através de um método automátic</w:t>
      </w:r>
      <w:r w:rsidR="007B62B6">
        <w:t>o, sendo que e</w:t>
      </w:r>
      <w:r w:rsidR="000325E6">
        <w:t>sses são elementos chave que permitem que o teste seja realizado com sucesso</w:t>
      </w:r>
      <w:r w:rsidR="007B62B6">
        <w:t xml:space="preserve"> </w:t>
      </w:r>
      <w:r w:rsidR="007B62B6">
        <w:fldChar w:fldCharType="begin"/>
      </w:r>
      <w:r w:rsidR="007B62B6">
        <w:instrText xml:space="preserve"> ADDIN ZOTERO_ITEM CSL_CITATION {"citationID":"qhrD5oZR","properties":{"formattedCitation":"(Cum et al., 2024; d\\uc0\\u8217{}Isa &amp; Gerlai, 2023)","plainCitation":"(Cum et al., 2024; d’Isa &amp; Gerlai, 2023)","noteIndex":0},"citationItems":[{"id":3583,"uris":["http://zotero.org/users/7052761/items/GQ953UIW"],"itemData":{"id":3583,"type":"article-journal","abstract":"Social recognition is crucial for survival in social species, and necessary for group living, selective reproduction, pair bonding, and dominance hierarchies. Mice and rats are the most commonly used animal models in social memory research, however current paradigms do not account for the complex social dynamics they exhibit in the wild. To assess the range of social memories being studied, we conducted a systematic analysis of neuroscience articles testing the social memory of mice and rats published within the past two decades and analyzed their methods. Our results show that despite these rodent's rich social memory capabilities, the majority of social recognition papers explore short-term memories and short-term familiarity levels with minimal exposure between subject and familiar stimuli-a narrow type of social memory. We have identified several key areas currently understudied or underrepresented: kin relationships, mates, social ranks, sex variabilities, and the effects of aging. Additionally, reporting on social stimulus variables such as housing history, strain, and age, is limited, which may impede reproducibility. Overall, our data highlight large gaps in the diversity of social memories studied and the effects social variables have on social memory mechanisms.","container-title":"Scientific Reports","DOI":"10.1038/s41598-024-52277-z","ISSN":"2045-2322","issue":"1","journalAbbreviation":"Sci Rep","language":"eng","license":"2024 The Author(s)","note":"PMID: 38278973\nPMCID: PMC10817899","page":"2221","source":"PubMed","title":"A systematic review and meta-analysis of how social memory is studied","volume":"14","author":[{"family":"Cum","given":"Meghan"},{"family":"Santiago Pérez","given":"Jocelyn A."},{"family":"Wangia","given":"Erika"},{"family":"Lopez","given":"Naeliz"},{"family":"Wright","given":"Elizabeth S."},{"family":"Iwata","given":"Ryo L."},{"family":"Li","given":"Albert"},{"family":"Chambers","given":"Amelia R."},{"family":"Padilla-Coreano","given":"Nancy"}],"issued":{"date-parts":[["2024",1,26]]}}},{"id":3694,"uris":["http://zotero.org/users/7052761/items/NPES937A"],"itemData":{"id":3694,"type":"article-journal","abstract":"(Small, 1900). Noticing that well-fed rats still retrieved food during the task, he added: &amp;quot;Their performance of the task without the incitement of hunger can hardly be accounted for except upon the basis of a hoarding instinct almost as imperative as hunger&amp;quot; (Small, 1900). Nevertheless, these specifications seem to have been scarcely considered by the following researchers. Indeed, most behavioral tests designed up to the 1950s were based on rewards or punishments and commonly employed food deprivation or electric shocks, respectively.Another classical avoidance task is, for example, the shuttle-box active avoidance, first conceived by Lucien Warner in the early 1930s (Warner, 1932), where instead of having to stay in the illuminated zone to avoid the shock, i.e. instead of not moving and being passive, the appropriate response is to actively move over to an opposite zone to avoid the shock when a stimulus (a tone or a light) announces its imminent release. In this task, the experimenter may have to employ a large number of shocks (even hundreds) over several days of training before animals reach high rates of shock avoidance and cognitively impaired animals could still show low rates of shock avoidance even at the end of the training (Montag-Sallaz and Montag, 2003;Cain, 2019). Painful stimulation, along with being ethically undesirable when dealing with any sentient organism, also leads to methodological complications for the experimenters. Indeed, pain generates stress, which is a major confounding factor in animal research. Still today, classical avoidance tests employ electric shocks, while many other traditional tests, although not utilizing painful stimuli, feature highly stressful conditions including starvation, water deprivation or pharmacologically induced sickness to motivate the animals to perform a task. However, an increasingly accepted view is that absence of pain and reduction of stress during behavioral testing are fundamental for both animal welfare and reproducibility of experimental results, and unless pain or stress is the main focus of the study, these conditions should be avoided as much as possible. In order to respond to such ethical and methodological concerns, several animal-friendly tests have been designed. However, since not all behavioral domains of investigation currently have such animal-friendly options, the development of new animal-friendly tests is an important goal for modern behavioral neuroscience.Compared to shuttle-box active avoidance, step-through passive avoidance, introduced in the 1960s (Kopp, Bohdanecky and Jarvik, 1966;Jarvik and Kopp, 1967), is considerably less stressful and in the test session no shock delivery is actually present. Nevertheless, the training session still features a brief painful stimulus. In an ideal animal-friendly behavioral test, the motivating factor should not be painful or stressful. Furthermore, the observable behavior should be natural (i.e., an ethologically relevant species-specific motor or postural pattern). Finally, the outcome variable associated with this behavioral response should be practical to measure in a laboratory setting through a method that is safe for the animals (e.g., direct observation, videorecording, videotracking, audiorecording of ultrasonic vocalizations, photocell actimetry, weight sensors, infrared thermometry and other non-invasive methods). These are the three main characteristics that a behavioral test should have to be qualified as animal-friendly. Let us first focus on the motivational aspect of behavioral tests, the first of the key components mentioned above.Ethologists have been stressing the argument that motivating factors are species-specific (Gerlai, 2021;Clayton and Gerlai, 1999). A stimulus that is appetitive (rewarding) or aversive (punishing) for one species, may be neutral, or may have the opposite reinforcing value to another. Even among closely related species, the rewarding value of a stimulus may be remarkably different. Among felids, for instance, tigers like to bath in water, while lions do not. Hence a swimming pool may be a reward for the former, but not for the latter species, as found, for example, by Allison Hedgecoth who provided a water pool to a lioness and a tigress living together in the same environment in the Noah&amp;#39;s Ark Animal Sanctuary of Locust Grove, Georgia, United States (Harries, Morgue and Purefoy, 2020). The main issue, however, in the behavioral neuroscience literature is that systematic analysis of what motivates animals used in laboratory settings is often lacking, or that ethology research often does not intersect with biomedical studies.Considering, for example, laboratory rodents, the house mouse (Mus musculus) and the common rat (Rattus norvegicus) are the two most widely used species in biomedical research. Their employment is almost universal in translational research studying mechanisms of central nervous system disorders. Most studies that require aversive stimuli with rodents use electric shocks. But electric shocks are rather unnatural stimuli. However, almost no one considers what consequences may result from the unnatural aspect of this stimulus. It is just assumed that pain is pain, and that electric shock-induced pain is relevant and strongly motivating. Most scientists do not even consider what complication this electricity passively running through the body of the animal, including its brain, may cause with respect to neuronal activity: such electric currents may alter synaptic function and numerous underlying molecular mechanisms. Similarly, studies that employ appetitive stimuli, almost always use food that the experimenter picks out based on tradition, habit or just personal preference. Comparative analyses of what food types, food quantities, food textures and food sizes are most preferred by rats or mice are often not considered, or have not even been conducted. Briefly, as animals are, through evolutionary processes, adapted to their natural environment, they possess species-specific characteristics that represent genetic predispositions, instincts in colloquial terms, that determine, or at least heavily influence what they like, what they dislike, and how they respond to these stimuli. Taking these species-specific features into account is thus a must in animal-friendly experimental designing (Clayton &amp;amp; Gerlai, 1999a;1999b). In rodents, a typical animal-friendly motivating factor is neophilia (attraction for novelty), which drives, for instance, object exploration behavior in the object recognition test (d &amp;#39;Isa, Brambilla and Fasano, 2014), head-dipping in the hole-board test (d &amp;#39;Isa, Leocani and Comi, 2021a) and arm alternation in the spontaneous alternation T-maze (d &amp;#39;Isa, Leocani and Comi, 2021b). A similar example is the continuous spontaneous alternation test using a T-maze, which utilizes novel place preference to study short-term spatial memory in rodents (Gerlai, 1998).Regarding the second key element mentioned above, the observable behavior in an animalfriendly test should be naturally displayed by the animal (e.g. should be part of the ethogram). Preferably, it should be a spontaneous behavior, an instinctive response that requires no pretraining, during which typically punishments and rewards are used by the experimenter to lead to a target behavior. Punishments are commonly painful stimuli (as electric shocks), while rewards, as food or liquids, are often associated with food-deprivation or water-deprivation, in order to use hunger or thirst as motivating factors. Lack of the need for pre-training makes the test more animalfriendly because it avoids punishments and deprivations, and is also time-saving for the experimenter. It is, however, also possible to use conditioned behaviors in an animal-friendly way, if certain conditions are respected. In particular, rewards should not be associated with a previous aversive state. Chow and colleagues, for instance, designed a reward-based cognitive test for grey squirrels in which no food-deprivation or water-deprivation was employed (Chow et al., 2017). The motivation of the rodents was ensured simply by using food rewards (hazelnuts) that were different from their daily diet (seeds, fresh fruit and vegetables), i.e., novelty alone was sufficient to motivate the animals. Novelty-seeking and exploratory drive (i.e., the motivation to learn about new places and/or new inanimate or animate components of the environment) are almost universal among animal species, and certainly have been shown for laboratory rodents (Gerlai et al., 1990;Cruiso, 2001). In fact, stabilizing natural selection has been inferred for exploratory behaviors from fish to mammals, as it leads to an optimal level of activity ensuring the ability of the animal to find resources, including food, water and mates, as well as escape routes leading away from predators (Gerlai et al., 1990;Cruiso, 2001). The use of novelty as a motivator may not be appropriate in some research contexts and, for certain studies, aversive stimulation may be required. However, even in such cases, painful punishments could be and should be substituted with non-painful aversive alternatives, for example, air-puffs. Indeed, air-puffs have been efficiently employed to elicit robust conditioned place avoidance negating the need for using any painful stimuli (d&amp;#39; Isa et al., 2011). Even for studies specifically focused on fear reactions, alternatives to painful stimulation are available. Odor of predators (e.g., fox&amp;#39;s urine, or an extract from it) has been efficiently used to induce avoidance reactions and fear without previous painful stimulation (Blanchard et al., 2003).The main steps for designing an animal-friendly test can be summarized as follows: a) prepare a list of behaviors typical of the species (the ethogram), along with what stimuli may induce these behaviors, i.e., the motivating forces; b) exclude behaviors induced by pain, physical suffering or psychological stress; c) from the remaining, choose a behavior that can be studied through an apparatus that can be used in a laboratory setting; d) choose which outcomes could be measured, safely for the animals, in the most efficient and precise way in order to provide quantitative experimental data. Let us examine an experimental example of how these steps may be accomplished.A typical behavior of rodents is food hoarding, that is, collecting and hiding food as supply storage for times of food scarcity. This behavior can be observed in more than 180 rodents (Zhang et al., 2022). This is an adaptive behavior that is observable both in nature and in the laboratory setting. It is an instinctive behavior that does not require pre-training. Two main strategies are adopted by food hoarding rodents. Scatter hoarders, as grey squirrels, hide food in many dispersed small hoards. On the other hand, larder hoarders, as hamsters, store food in one large hoard, named the larder. A classification of the hoarding strategies of 183 rodents is provided by Zhang and colleagues (Zhang et al., 2022). These hoarding behaviors may be utilized by the experimenter to devise behavioral tests of motivation (during the food accumulation phase) or of spatial memory (during the subsequent phase of food retrieval from the spatially separated hoards). For motivation tests, easier to study in larder hoarding rodents, the measurable outcome could be the total weight of the seeds or pellets collected and stored in a fixed amount of time. For spatial memory tests, which would be best studied with scatter hoarding rodents, the recorded outcome could be the number of errors in finding the hoarding sites containing the previously stored food. Alternatively, spatial memory could be studied also in larder hoarders if, during the accumulation phase, the sources of food are multiple. Number of errors (returning to an already depleted food site) would serve as memory index. An apparatus for the testing of food hoarding behavior in a laboratory setting has been realized, for example, by Robert Deacon at Oxford University (Deacon, 2006).An ethological approach may be useful to devise animal-friendly behavioral tests for two reasons. On the one hand, it may help researchers to choose among the elements of the ethogram a behavior that does not require painful or stressful motivating factors. On the other hand, among a taxonomical family of species (for example rodents), it may help researchers to select the most suitable species for a certain test. Let us return to the example we mentioned above. Laboratory mice are larder hoarders, just like hamsters, but their propensity to hoard is relatively low under baseline conditions. In order to avoid food-deprivation, long testing sessions may be required to obtain replicable results, including, e.g., overnight testing sessions (Deacon, 2006). Hamsters, on the other hand, have a high propensity to hoard (Vander Wall, 1990;Harris, 2017). Up to 90 kg of food have been found in hamster burrows (Nowak and Paradiso, 1983). Among food hoarders, they display a specific behavior known as cheek pouching, that is accumulating food in cheek pouches, specialized pockets that allow food transportation. Instead of eating the food items, hamsters keep the food items in their mouth to carry them to a safe place for storage (the larder). Importantly, hamsters easily show this behavior even when they are not hungry, with a latency to hoard within 2 minutes (Montoya and Guti&amp;#233;rrez, 2016). This peculiarity of hamsters makes them particularly suitable as animal models for scientists who want to design an animal-friendly reward-based memory test that does not require any previous starvation.Another rodent, the chinchilla (Chinchilla lanigera), displays a peculiar behavior known as sand-bathing: when presented with a box full of sand, it will readily start rolling in the box, rotating along its longitudinal axis, to rub its fur in the sand (Stern and Merari, 1969). This natural and spontaneous behavior can be easily elicited in a laboratory setting and sand could be used as an animal-friendly reward in instrumental learning tests without the need of any previous deprivation condition (Redman, 1974).Eastern woodrats (Neotoma floridana), also known as pack rats, have a special attraction for shiny objects, which they readily approach, pick up and bring to their nest, where they collect them (Bradley at al., 2022). This natural tendency of woodrats could be used in behavioral tests, employing small metal objects, as stripes or balls of aluminium foil, as motivators (Kaufman and Kaufman, 1984).Of course, the issue is that quite often neurobiological, genetic, or other methods may not be as readily available, or as sophisticated, for such species as hamsters and chinchillas as for the favorites of biomedical research, mice and rats. How can we solve this conundrum? Firstly, we could improve biotechnological methods for the so called &amp;quot;alternative&amp;quot; species. Secondly, we could improve our understanding of the ethology, the natural species-specific behavioral characteristics, of the preferred model organisms, e.g., of mice and rats. Certainly, advances in both of these areas have been made during the past few decades. Regarding the first area, numerous novel techniques may now be equally useable with mice and hamsters (and many other species). The CRISPR/Cas technology is a clear example (Kampmann, 2020). Concerning the second area, there have been research efforts adopting ethological approaches in mouse neurobehavioral genetics, as for instance testing mouse mutants in the wild (Dell&amp;#39;Omo et al., 2000;Vyssotski et al., 2002) or in laboratory environments more closely resembling a natural habitat, like Eco-HAB (Puścian et al., 2016;Winiarski et al., 2022). Notably, an important ethological approach of the new century is testing the animals in their home-cage through automated systems, as IntelliCage (Kiryk et al., 2020), SmartKage (Ho et al., 2022), PhenoMaster (K&amp;#246;nig et al., 2020) and Actual-HCA (Mitchell et al., 2020). These systems have several advantages: a) they allow behavioral phenotyping without human interference and without the consequent handling-related stress; b) the animals are not tested in an external apparatus but in their familiar and well-known housing environment, avoiding possible confounds arising from anxiety; c) data collection is not restricted to a specific moment of the day, but can be performed continuously, 24 hours a day, 7 days a week, allowing a more precise and realistic assessment of behavior; d) animals are tested in a natural social context while living together with other conspecifics. The most recent innovation within this automated behavioral testing approach is connecting home-cages to mazes (Mei et al., 2020;Kohler et al., 2022), granting the experimental subjects free access to the novel test environment. This allows the animals to decide voluntarily when and for how long they explore the maze, similarly to what would happen in nature when rodents decide to leave their burrow for external exploratory excursions.We believe that bringing closer the fields of ethology and neurobehavioral genetics or behavioral neuroscience will be the solution and will lead to cross-fertilization of these fields. It will also lead to animal-friendly testing approaches that will not only be more oriented towards the welfare of the animals involved, but also will provide more reliable and more replicable results for the experimenters.Reproducibility is when we obtain the same results repeatedly by using identical methods (Gerlai, 2019;Kafkafi et al., 2018), whereas replicability is when we reach similar conclusions by adopting different methodologies (Gerlai, 2019;Kafkafi et al., 2018). Minimizing stress of the tested animals is a value in itself from an ethical point of view. However, since stress is a confounding factor that increases variability of experimental outcomes, minimizing stress is also fundamental to achieve methodologically sound scientific research. Why does research that ignores species-specific features lead to increased variability? Why is stress a confounding factor that reduces reproducibility? These are intriguing questions that would deserve specific research. The answer may lay in the fact that stress causes activation of the hypothalamic-pituitary-adrenal (HPA) axis, which in turn alters physiological processes regulating cognition and behavior (Moreira et al., 2016). HPA reactivity depends on genetic, epigenetic and environmental factors (Holmes et al., 2005), which makes it more difficult to predict than instinctive responses. Let us make some overarching theoretical points. Most animal research includes human handling. Human handling is extremely difficult to standardize (Crabbe et al., 1999). Even if handling was perfectly standardized, stress reactivity of the animals would not. Animals experiencing more stress due to the experimental procedures will be more responsive to human handling, which then will lead to elevated error variation in the behavioral test. Furthermore, not knowing the species-specific characteristics of the studied organism, for example, applying inappropriate motivators, forcing the animal to exhibit behavioral responses it would not normally perform, and measuring the behavior under artificial conditions that do not have much to do with the natural environment in which the animal evolved, all can elevate random error, simply because the individuals tested this way may have to find unique solutions to the problems, considerably increasing individual differences in the study (Gerlai &amp;amp; Clayton, 1999a;1999b). To put it in the words of the aforementioned pioneer of experimental behavioral research Willlard Stanton Small, &amp;quot;the experiments must conform to the psycho-biological character of an animal if sane results are to be obtained&amp;quot; (Small, 1901).Animal-friendly tests utilizing species-specific features of the studied organism may not be always available or applicable, but, when they are, they should be employed as a first option, in order to maximize both animal welfare and repeatability of experimental results. When fully animal-friendly tests are not available, then the least stressful available test should be employed. In Table 1 we present a rating scale for behavioral tests based on their impact on animal welfare. This rating is not meant to be final, but rather a starting point to stimulate reflection and discussion on the differential stress impact of behavioral tests. We hope that in future an increasing number of studies will employ tests of class A (animal-friendly) and B (minimally stressful) and that, in accordance with a progressive refinement principle, new animal-friendly tests will be designed to substitute the more stressful alternatives. &amp;#39;Isa, Brambilla and Fasano, 2014 object location test Murai et al., 2007 object exploration test Steinbach, Garza and Ryan, 2016 spontaneous alternation T-maze d &amp;#39;Isa, Comi and Leocani, 2021b continuous alternation Y-maze Detrait et al., 2010 continuous alternation T-maze Gerlai, 1998 spontaneous 8-arm radial maze (no food deprivation, unbaited) Haga, 1995 spontaneous 6-arm radial maze (no food deprivation, unbaited) Alessandri et al., 1994;Opitz, Mothes and Clausing, 1997 spontaneous Dashiell hexagonal maze (no food deprivation, unbaited) Gim&amp;#233;nez-Llort et al., 2007 free access rewarded 8-arm radial maze (no food deprivation, baited) Mei et al., 2020;Kohler et al., 2022 hole-board test d &amp;#39;Isa, Comi and Leocani, 2021a locomotor activity test Visigalli et al., 2010 open-field test (in dim light) McReynolds, Weir and DeFries, 1967;V&amp;#245;ikar and Stanford, 2023 emergence test Par&amp;#233;, Tejani-Butt and Kluczynski, 2001 sociability test in the threechambered apparatus Gu et al., 2018 social versus object preference test in the three-chambered apparatus Lammert et al., 2018 social novelty preference test in the three-chambered apparatus Kaidanovich-Beilin et al., 2011 social recognition test Jacobs et al., 2016 opposite-sex partner preference test in the satellite cages apparatus Linnenbrink and von Merten, 2017 mate choice test in the threechambered apparatus Nomoto et al., 2018;Guarraci and Frohardt, 2019 paced mating sexual behavior test Zipse, Brandling-Bennett and Clark, 2000;Nedergaard, Sanchez and Mellerup, 2004 paced mating-induced conditioned place preference Camacho, Garc&amp;#237;a-Horsman and Paredes, 2009 two-bottle taste preference test Gaillard and Stratford, 2016;Strekalova, 2023 saccharin consumption test Inostroza et al., 2012 voluntary wheel running Goh and Ladiges, 2015 successive alleys test Deacon, 2013a nest-building test Neely et., 2019;Dorninger, Zeitler and Berger, 2020 burrowing test Deacon, 2009 food hoarding test (without food deprivation) Deacon, 2006 marble burying test Angoa-P&amp;#233;rez et al., 2013;Witkin and Smith, 2023 CatWalk gait analysis Crowley, Kataoka and Itaka, 2018;Pitzer, Kurpiers and Eltokhi, 2021 IntelliCage automated homecage testing Vannoni et al., 2014 SmartKage automated homecage testing Ho et al., 2022 Eco-HAB automated home-cage testing Puścian et al., 2016;Winiarski et al., 2022 PhenoMaster automated homecage testing K&amp;#246;nig et al., 2020 Actual-HCA automated homecage testing Mitchell et al., 2020 </w:instrText>
      </w:r>
      <w:r w:rsidR="007B62B6">
        <w:instrText xml:space="preserve"> low psychological stress </w:instrText>
      </w:r>
      <w:r w:rsidR="007B62B6">
        <w:instrText xml:space="preserve"> no food deprivation </w:instrText>
      </w:r>
      <w:r w:rsidR="007B62B6">
        <w:instrText xml:space="preserve"> no water deprivation </w:instrText>
      </w:r>
      <w:r w:rsidR="007B62B6">
        <w:instrText xml:space="preserve"> no forced water immersion </w:instrText>
      </w:r>
      <w:r w:rsidR="007B62B6">
        <w:instrText xml:space="preserve"> no painful stimuli Barnes maze Rosenfeld and Ferguson, 2014 open-field test (in bright light) Seibenhener and Wooten, 2015 light-dark transition test Takao and Miyakawa, 2006 elevated plus maze Walf and Frye, 2007 Rotarod Papale et al., 2017 pole test Zhu et al., 2017 beam walking test Luong et al., 2011 pup retrieval test Lee et al., 2021;Winters et al., 2022 pup-rewarded auditory learning test Besosa et al., 2020 Plucinska et al., 2012;Wrenn et al., 2003 social versus food preference test Reppucci and Veenema, 2020 hyponeophagia test Deacon, 2011 water-rewarded social cooperation test Feng et al., 2021 Shoji et al., 2014;M&amp;#252;ller and Fendt, 2023 multiple-shock passive avoidance Takahashi et al., 2018 Koolhaas et al., 2013 resident-intruder violence test Koolhaas et al., 2013 L </w:instrText>
      </w:r>
      <w:r w:rsidR="007B62B6">
        <w:instrText xml:space="preserve"> lethal tests terminal sleep deprivation Everson, Bergmann and Rechtschaffen, 1989 drowning test Richter, 1957 Table 1 Rating of the impact of behavioral tests on animal welfare A suggested rating scale for behavioral tests in order of severity (from A to L) of the impact on the wellbeing and welfare of laboratory rodents is presented. For each rating class, features are described and a list of example behavioral tests is provided. The scale comprises twelve welfare classes, from A (no negative impact on animal welfare) to L (most severe negative impact).Important Notes:(1) Test impact on animal welfare is species-specific. The suggested rating is specific for crepuscular/nocturnal rodents (as mice, rats and hamsters). For different species of rodents, the ratings may differ. For instance, for the degu (Octodon degus), a diurnal rodent species in which adults show strong preference for the lit compartment in the light-dark transition test (Popović et al., 2009), the Barnes maze would have a rating of A instead of B.(2) This classification of behavioral tests is based on the normal responses expected from wild-type or untreated/unmanipulated control rodents. However, as test-associated stress always derives from the interaction between the test and the experimental manipulations (e.g. mutations induced or drug treatment employed), even behavioral tests that are minimally stressful for untreated wild-types may lead to high distress in manipulated animals. Thus, the experimenter must always consider not only what wild-type control animals will do in the test, but also closely monitor how the mutant/treated animals respond in pilot studies, and revise the experimental protocol or choose alternative tests accordingly.(3) This scale is ordinal, but not linear. We are not assuming equal distances between classes.(4) Due to the degree of suffering inflicted on the animals, the tests reported in category J are considered unethical according to current ethical standards, and nowadays would not be approved by the institutional animal care and use committees (IACUCs), nor would receive legal authorization, in most countries performing scientific research.(5) The rating scale is only a suggested scale, a non-comprehensive working document that is meant to be debated, updated and expanded by the rodent research community.","container-title":"Frontiers in Behavioral Neuroscience","DOI":"10.3389/fnbeh.2022.1090248","ISSN":"1662-5153","journalAbbreviation":"Front. Behav. Neurosci.","language":"English","note":"publisher: Frontiers","source":"Frontiers","title":"Designing animal-friendly behavioral tests for neuroscience research: The importance of an ethological approach","title-short":"Designing animal-friendly behavioral tests for neuroscience research","URL":"https://www.frontiersin.org/journals/behavioral-neuroscience/articles/10.3389/fnbeh.2022.1090248/full","volume":"16","author":[{"family":"Isa","given":"Raffaele","non-dropping-particle":"d'"},{"family":"Gerlai","given":"Robert"}],"accessed":{"date-parts":[["2025",11,19]]},"issued":{"date-parts":[["2023",1,10]]}}}],"schema":"https://github.com/citation-style-language/schema/raw/master/csl-citation.json"} </w:instrText>
      </w:r>
      <w:r w:rsidR="007B62B6">
        <w:fldChar w:fldCharType="separate"/>
      </w:r>
      <w:r w:rsidR="007B62B6" w:rsidRPr="007B62B6">
        <w:rPr>
          <w:rFonts w:cs="Arial"/>
        </w:rPr>
        <w:t>(Cum et al., 2024; d’Isa &amp; Gerlai, 2023)</w:t>
      </w:r>
      <w:r w:rsidR="007B62B6">
        <w:fldChar w:fldCharType="end"/>
      </w:r>
      <w:r w:rsidR="007B62B6">
        <w:t>.</w:t>
      </w:r>
    </w:p>
    <w:p w14:paraId="338DADED" w14:textId="77777777" w:rsidR="0043078A" w:rsidRDefault="007B62B6" w:rsidP="008D187E">
      <w:r>
        <w:tab/>
        <w:t>Além dessas especificidades</w:t>
      </w:r>
      <w:r w:rsidR="00321CC4">
        <w:t xml:space="preserve"> permeando o </w:t>
      </w:r>
      <w:r w:rsidR="00321CC4" w:rsidRPr="00321CC4">
        <w:rPr>
          <w:highlight w:val="yellow"/>
        </w:rPr>
        <w:t xml:space="preserve">comportamento principal abordado </w:t>
      </w:r>
      <w:r w:rsidR="00892223">
        <w:rPr>
          <w:highlight w:val="yellow"/>
        </w:rPr>
        <w:t>durante a</w:t>
      </w:r>
      <w:r w:rsidR="00321CC4" w:rsidRPr="00321CC4">
        <w:rPr>
          <w:highlight w:val="yellow"/>
        </w:rPr>
        <w:t xml:space="preserve"> dissertação</w:t>
      </w:r>
      <w:r>
        <w:t>, um desafio a mais foi introduzido quando surgiu a necessidade de se aprofundar mais nos mecanismos subjacentes à memória social</w:t>
      </w:r>
      <w:r w:rsidR="00321CC4">
        <w:t>. Tal avanço no desenvolvimento metodológico necessita de uma ferramenta que seja capaz de fornecer dados que sejam congruentes com a tarefa já padronizada,</w:t>
      </w:r>
      <w:r w:rsidR="00892223">
        <w:t xml:space="preserve"> adaptável as formas de análise existentes e que sejam praticáveis. Existem diversas técnicas que são capazes de preencher esses requerimentos, desde imuno-histoquímica, fluorescência, Western Blotting,</w:t>
      </w:r>
      <w:r w:rsidR="0043078A">
        <w:t xml:space="preserve"> manipulações farmacológicas como a utilização de bloqueadores de síntese proteica, drogas excitatórias (muscimol), utilização de animais transgênicos. (REF para tudo isso?). Porém, respostas ambiciosas requerem técnicas ambiciosas (TALVEZ NÃO). A ferramenta escolhida, portanto, foi o miniscope, para o imageamento de cálcio. </w:t>
      </w:r>
    </w:p>
    <w:p w14:paraId="210F28E6" w14:textId="77777777" w:rsidR="0043078A" w:rsidRDefault="0043078A" w:rsidP="008D187E">
      <w:r>
        <w:tab/>
        <w:t>O miniscope é... ... ... (EXPLICAR O MINISCOPE AQUI)</w:t>
      </w:r>
    </w:p>
    <w:p w14:paraId="15284498" w14:textId="77777777" w:rsidR="0043078A" w:rsidRDefault="0043078A" w:rsidP="008D187E">
      <w:pPr>
        <w:pBdr>
          <w:top w:val="single" w:sz="6" w:space="1" w:color="auto"/>
          <w:bottom w:val="single" w:sz="6" w:space="1" w:color="auto"/>
        </w:pBdr>
      </w:pPr>
    </w:p>
    <w:p w14:paraId="63DAF79F" w14:textId="625A6AFF" w:rsidR="0043078A" w:rsidRDefault="0043078A" w:rsidP="008D187E">
      <w:pPr>
        <w:pBdr>
          <w:bottom w:val="single" w:sz="6" w:space="1" w:color="auto"/>
          <w:between w:val="single" w:sz="6" w:space="1" w:color="auto"/>
        </w:pBdr>
      </w:pPr>
    </w:p>
    <w:p w14:paraId="15724CD8" w14:textId="10344CC6" w:rsidR="007B62B6" w:rsidRDefault="00892223" w:rsidP="008D187E">
      <w:r>
        <w:t xml:space="preserve"> </w:t>
      </w:r>
    </w:p>
    <w:p w14:paraId="017FA11C" w14:textId="6239C5B4" w:rsidR="0043078A" w:rsidRDefault="0043078A" w:rsidP="0043078A">
      <w:pPr>
        <w:pStyle w:val="Heading2"/>
      </w:pPr>
      <w:r>
        <w:rPr>
          <w:caps w:val="0"/>
        </w:rPr>
        <w:t>DESAFIOS NA IMPLANTAÇÃO DA TÉCNICA E SOLUÇÕES</w:t>
      </w:r>
    </w:p>
    <w:p w14:paraId="3568AAA9" w14:textId="64F12292" w:rsidR="0043078A" w:rsidRDefault="0043078A" w:rsidP="0043078A">
      <w:r>
        <w:tab/>
        <w:t xml:space="preserve">A incorporação da técnica de imageamento de cálcio por meio de miniscope ao paradigma de reconhecimento social trouxe uma série de desafios metodológicos que </w:t>
      </w:r>
      <w:r>
        <w:lastRenderedPageBreak/>
        <w:t>exigiram adaptações estruturais, instrumentais e procedimentais. Embora a literatura descreva protocolos gerais para a implantação de lentes GRIN e posterior acoplamento do miniscope, a transposição dessas etapas para a realidade laboratorial local implicou ajustes cuidadosos e sucessivas iterações de projeto. As soluções desenvolvidas ao longo desse processo foram fundamentais para garantir precisão estereotáxica, segurança dos animais.</w:t>
      </w:r>
    </w:p>
    <w:p w14:paraId="0B67D875" w14:textId="1C3A608E" w:rsidR="0043078A" w:rsidRDefault="0043078A" w:rsidP="0043078A">
      <w:pPr>
        <w:ind w:firstLine="720"/>
      </w:pPr>
      <w:r>
        <w:t xml:space="preserve">De forma geral, a implantação bem-sucedida da técnica exigiu a superação de três desafios centrais: (1) a preparação adequada para a aspiração tecidual e realização da craniotomia; (2) a inserção precisa e protegida da lente GRIN; e (3) o desenvolvimento de suportes específicos capazes de estabilizar tanto a lente quanto o conjunto cirúrgico no aparelho estereotáxico. As adaptações realizadas em cada uma dessas etapas garantiram a confiabilidade das cirurgias e permitiram um nível de precisão compatível com o exigido para o imageamento </w:t>
      </w:r>
      <w:r w:rsidR="001804C9">
        <w:t>do hipocampo.</w:t>
      </w:r>
    </w:p>
    <w:p w14:paraId="29E7C9C9" w14:textId="77777777" w:rsidR="0043078A" w:rsidRDefault="0043078A" w:rsidP="0043078A"/>
    <w:p w14:paraId="3C34F039" w14:textId="474B7C83" w:rsidR="0043078A" w:rsidRDefault="0043078A" w:rsidP="0043078A">
      <w:pPr>
        <w:pStyle w:val="Heading3"/>
      </w:pPr>
      <w:r>
        <w:rPr>
          <w:caps w:val="0"/>
        </w:rPr>
        <w:t>PREPARAÇÃO PARA A ASPIRAÇÃO TECIDUAL E CRANIOTOMIA</w:t>
      </w:r>
    </w:p>
    <w:p w14:paraId="55F08A21" w14:textId="3AE1A612" w:rsidR="0043078A" w:rsidRDefault="0043078A" w:rsidP="0043078A">
      <w:pPr>
        <w:ind w:firstLine="720"/>
      </w:pPr>
      <w:r>
        <w:t>A primeira etapa crítica consistiu em assegurar que a craniotomia fosse executada de forma precisa e minimamente invasiva. Métodos convencionais demonstraram-se inadequados para atingir o grau de controle espacial necessário, o que motivou o desenvolvimento de um dispositivo customizado. Esse aparelho miniaturizou uma microbroca e permitiu seu acoplamento ao estereotáxico, garantindo estabilidade e uniformidade na perfuração. O diâmetro da craniotomia foi padronizado com base no diâmetro da lente GRIN, evitando tanto perfurações excessivas quanto insuficientes.</w:t>
      </w:r>
    </w:p>
    <w:p w14:paraId="07F00283" w14:textId="0DE83092" w:rsidR="0043078A" w:rsidRDefault="0043078A" w:rsidP="0043078A">
      <w:pPr>
        <w:ind w:firstLine="720"/>
      </w:pPr>
      <w:r>
        <w:t>O dispositivo final incluiu uma agulha</w:t>
      </w:r>
      <w:r w:rsidR="001804C9">
        <w:t xml:space="preserve"> de biópsia</w:t>
      </w:r>
      <w:r>
        <w:t xml:space="preserve"> de 2 mm acoplada a um motor alimentado por bateria de 9 V com um trimpot para ajuste fino de velocidade, montado em um suporte impresso em 3D. Essa solução viabilizou uma craniotomia precisa, reduzindo significativamente o risco de danos colaterais e padronizando a etapa inicial da cirurgia.</w:t>
      </w:r>
    </w:p>
    <w:p w14:paraId="1D9D0BFF" w14:textId="6C786A60" w:rsidR="0043078A" w:rsidRDefault="00A33243" w:rsidP="001804C9">
      <w:pPr>
        <w:jc w:val="center"/>
      </w:pPr>
      <w:r>
        <w:rPr>
          <w:noProof/>
        </w:rPr>
        <w:lastRenderedPageBreak/>
        <w:t>3</w:t>
      </w:r>
      <w:r w:rsidR="001804C9">
        <w:rPr>
          <w:noProof/>
        </w:rPr>
        <w:drawing>
          <wp:inline distT="0" distB="0" distL="0" distR="0" wp14:anchorId="3D80D677" wp14:editId="12B064E8">
            <wp:extent cx="5251731" cy="5187130"/>
            <wp:effectExtent l="0" t="0" r="6350" b="0"/>
            <wp:docPr id="208014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21"/>
                    <a:stretch/>
                  </pic:blipFill>
                  <pic:spPr bwMode="auto">
                    <a:xfrm>
                      <a:off x="0" y="0"/>
                      <a:ext cx="5257432" cy="5192760"/>
                    </a:xfrm>
                    <a:prstGeom prst="rect">
                      <a:avLst/>
                    </a:prstGeom>
                    <a:noFill/>
                    <a:ln>
                      <a:noFill/>
                    </a:ln>
                    <a:extLst>
                      <a:ext uri="{53640926-AAD7-44D8-BBD7-CCE9431645EC}">
                        <a14:shadowObscured xmlns:a14="http://schemas.microsoft.com/office/drawing/2010/main"/>
                      </a:ext>
                    </a:extLst>
                  </pic:spPr>
                </pic:pic>
              </a:graphicData>
            </a:graphic>
          </wp:inline>
        </w:drawing>
      </w:r>
    </w:p>
    <w:p w14:paraId="2CE1F627" w14:textId="02B424DA" w:rsidR="0043078A" w:rsidRDefault="0043078A" w:rsidP="0043078A">
      <w:pPr>
        <w:pStyle w:val="Heading3"/>
      </w:pPr>
      <w:r>
        <w:rPr>
          <w:caps w:val="0"/>
        </w:rPr>
        <w:t>INSERÇÃO DA LENTE GRIN</w:t>
      </w:r>
    </w:p>
    <w:p w14:paraId="73ACF8B4" w14:textId="77777777" w:rsidR="0043078A" w:rsidRDefault="0043078A" w:rsidP="0043078A">
      <w:pPr>
        <w:ind w:firstLine="720"/>
      </w:pPr>
      <w:r>
        <w:t>Superada a craniotomia, o segundo desafio foi inserir a lente GRIN nas coordenadas estereotáxicas exatas e de maneira estável. Os primeiros protótipos de suporte, feitos com tubos plásticos, revelaram limitações principalmente relacionadas à estabilidade e precisão dimensional. Em resposta, desenvolveu-se um suporte impresso em PLA; contudo, a falta de precisão da impressora de filamento impossibilitou a fabricação de orifícios compatíveis com o diâmetro da lente.</w:t>
      </w:r>
    </w:p>
    <w:p w14:paraId="4DCDF69E" w14:textId="77777777" w:rsidR="0043078A" w:rsidRDefault="0043078A" w:rsidP="0043078A">
      <w:pPr>
        <w:ind w:firstLine="720"/>
      </w:pPr>
      <w:r>
        <w:t xml:space="preserve">A solução definitiva envolveu o uso de uma impressora de resina Halot Sky, cuja precisão permitiu projetar um suporte com tolerâncias adequadas. Esse suporte fixava a lente ao crânio e, adicionalmente, incluía uma tampa protetora, indispensável para o período de recuperação pós-cirúrgica (aproximadamente 21 dias), quando o animal </w:t>
      </w:r>
      <w:r>
        <w:lastRenderedPageBreak/>
        <w:t>retorna ao biotério. A precisão do suporte impresso também funcionou como guia adicional de alinhamento estereotáxico, aumentando a confiabilidade da inserção.</w:t>
      </w:r>
    </w:p>
    <w:p w14:paraId="717AF485" w14:textId="63477CAE" w:rsidR="0043078A" w:rsidRDefault="001804C9" w:rsidP="0043078A">
      <w:r>
        <w:rPr>
          <w:noProof/>
        </w:rPr>
        <w:drawing>
          <wp:inline distT="0" distB="0" distL="0" distR="0" wp14:anchorId="4887142C" wp14:editId="2F7063DD">
            <wp:extent cx="5943600" cy="4502020"/>
            <wp:effectExtent l="0" t="0" r="0" b="0"/>
            <wp:docPr id="2324077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02020"/>
                    </a:xfrm>
                    <a:prstGeom prst="rect">
                      <a:avLst/>
                    </a:prstGeom>
                    <a:noFill/>
                    <a:ln>
                      <a:noFill/>
                    </a:ln>
                  </pic:spPr>
                </pic:pic>
              </a:graphicData>
            </a:graphic>
          </wp:inline>
        </w:drawing>
      </w:r>
    </w:p>
    <w:p w14:paraId="15038C74" w14:textId="2E07BFC7" w:rsidR="0043078A" w:rsidRDefault="0043078A" w:rsidP="0043078A">
      <w:pPr>
        <w:pStyle w:val="Heading3"/>
      </w:pPr>
      <w:r>
        <w:rPr>
          <w:caps w:val="0"/>
        </w:rPr>
        <w:t>DESENVOLVIMENTO DE SUPORTES AUXILIARES PARA ESTABILIZAÇÃO DA LENTE NO ESTEREOTÁXICO</w:t>
      </w:r>
    </w:p>
    <w:p w14:paraId="442FF49D" w14:textId="77777777" w:rsidR="0043078A" w:rsidRDefault="0043078A" w:rsidP="0043078A">
      <w:pPr>
        <w:ind w:firstLine="720"/>
      </w:pPr>
      <w:r>
        <w:t>Por fim, tornou-se necessário construir um suporte adicional que permitisse acoplar o conjunto ao aparelho estereotáxico durante as cirurgias. A customização de todos os componentes implicou projetar também uma estrutura capaz de manter estabilidade sem interferir no espaço cirúrgico. Diversas iterações foram testadas até se chegar a um modelo ideal: um suporte impresso em resina, com área superior para acoplamento direto à barra estereotáxica e uma indentação projetada para acomodar o suporte da lente com segurança.</w:t>
      </w:r>
    </w:p>
    <w:p w14:paraId="775E64B3" w14:textId="7EC806E5" w:rsidR="0043078A" w:rsidRDefault="0043078A" w:rsidP="0043078A">
      <w:pPr>
        <w:ind w:firstLine="720"/>
      </w:pPr>
      <w:r>
        <w:t>Essa solução permitiu reduzir o espaço ocupado no campo cirúrgico e garantiu firmeza durante as manipulações mais delicadas da cirurgia, aumentando a precisão e diminuindo a variabilidade entre procedimentos.</w:t>
      </w:r>
    </w:p>
    <w:p w14:paraId="27D081E0" w14:textId="243E0D99" w:rsidR="0043078A" w:rsidRPr="0043078A" w:rsidRDefault="001804C9" w:rsidP="001804C9">
      <w:pPr>
        <w:jc w:val="center"/>
      </w:pPr>
      <w:r>
        <w:rPr>
          <w:noProof/>
        </w:rPr>
        <w:lastRenderedPageBreak/>
        <w:drawing>
          <wp:inline distT="0" distB="0" distL="0" distR="0" wp14:anchorId="7B9C6D76" wp14:editId="3B2041A0">
            <wp:extent cx="4159250" cy="6336064"/>
            <wp:effectExtent l="0" t="0" r="0" b="7620"/>
            <wp:docPr id="24879586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5260"/>
                    <a:stretch/>
                  </pic:blipFill>
                  <pic:spPr bwMode="auto">
                    <a:xfrm>
                      <a:off x="0" y="0"/>
                      <a:ext cx="4159250" cy="6336064"/>
                    </a:xfrm>
                    <a:prstGeom prst="rect">
                      <a:avLst/>
                    </a:prstGeom>
                    <a:noFill/>
                    <a:ln>
                      <a:noFill/>
                    </a:ln>
                    <a:extLst>
                      <a:ext uri="{53640926-AAD7-44D8-BBD7-CCE9431645EC}">
                        <a14:shadowObscured xmlns:a14="http://schemas.microsoft.com/office/drawing/2010/main"/>
                      </a:ext>
                    </a:extLst>
                  </pic:spPr>
                </pic:pic>
              </a:graphicData>
            </a:graphic>
          </wp:inline>
        </w:drawing>
      </w:r>
    </w:p>
    <w:sectPr w:rsidR="0043078A" w:rsidRPr="0043078A" w:rsidSect="005E4CC1">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B92FB" w14:textId="77777777" w:rsidR="0068033D" w:rsidRDefault="0068033D" w:rsidP="005E4CC1">
      <w:pPr>
        <w:spacing w:line="240" w:lineRule="auto"/>
      </w:pPr>
      <w:r>
        <w:separator/>
      </w:r>
    </w:p>
  </w:endnote>
  <w:endnote w:type="continuationSeparator" w:id="0">
    <w:p w14:paraId="64E4B815" w14:textId="77777777" w:rsidR="0068033D" w:rsidRDefault="0068033D" w:rsidP="005E4C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E3763" w14:textId="31601070" w:rsidR="005E4CC1" w:rsidRDefault="005E4CC1" w:rsidP="005E4CC1">
    <w:pPr>
      <w:pStyle w:val="Footer"/>
      <w:jc w:val="center"/>
    </w:pPr>
    <w:r>
      <w:t xml:space="preserve">BELO </w:t>
    </w:r>
    <w:r>
      <w:t>HORIZONTE – MG</w:t>
    </w:r>
  </w:p>
  <w:p w14:paraId="3DAAE8FE" w14:textId="0F568F3E" w:rsidR="005E4CC1" w:rsidRDefault="005E4CC1" w:rsidP="005E4CC1">
    <w:pPr>
      <w:pStyle w:val="Footer"/>
      <w:jc w:val="center"/>
    </w:pP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DD3AE" w14:textId="77777777" w:rsidR="0068033D" w:rsidRDefault="0068033D" w:rsidP="005E4CC1">
      <w:pPr>
        <w:spacing w:line="240" w:lineRule="auto"/>
      </w:pPr>
      <w:r>
        <w:separator/>
      </w:r>
    </w:p>
  </w:footnote>
  <w:footnote w:type="continuationSeparator" w:id="0">
    <w:p w14:paraId="6E04ABDE" w14:textId="77777777" w:rsidR="0068033D" w:rsidRDefault="0068033D" w:rsidP="005E4C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F1C6" w14:textId="77777777" w:rsidR="005E4CC1" w:rsidRDefault="005E4CC1" w:rsidP="005E4CC1">
    <w:pPr>
      <w:widowControl w:val="0"/>
      <w:spacing w:line="278" w:lineRule="auto"/>
      <w:contextualSpacing/>
      <w:jc w:val="center"/>
    </w:pPr>
    <w:r>
      <w:t xml:space="preserve">UNIVERSIDADE FEDERAL DE MINAS GERAIS </w:t>
    </w:r>
  </w:p>
  <w:p w14:paraId="00DDBCFE" w14:textId="410B7359" w:rsidR="005E4CC1" w:rsidRDefault="005E4CC1" w:rsidP="005E4CC1">
    <w:pPr>
      <w:widowControl w:val="0"/>
      <w:spacing w:line="278" w:lineRule="auto"/>
      <w:contextualSpacing/>
      <w:jc w:val="center"/>
    </w:pPr>
    <w:r>
      <w:t>INSTITUTO DE CIÊNCIAS BIOLÓGICAS DEPARTAMENTO DE FISIOLOGIA E BIOFÍSICA</w:t>
    </w:r>
  </w:p>
  <w:p w14:paraId="2AC92001" w14:textId="77777777" w:rsidR="005E4CC1" w:rsidRDefault="005E4C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06DE"/>
    <w:multiLevelType w:val="hybridMultilevel"/>
    <w:tmpl w:val="610EDE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8A565F"/>
    <w:multiLevelType w:val="hybridMultilevel"/>
    <w:tmpl w:val="654A38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5E4D2B"/>
    <w:multiLevelType w:val="hybridMultilevel"/>
    <w:tmpl w:val="6B82F7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58631E2"/>
    <w:multiLevelType w:val="hybridMultilevel"/>
    <w:tmpl w:val="E00019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74727105">
    <w:abstractNumId w:val="2"/>
  </w:num>
  <w:num w:numId="2" w16cid:durableId="150414931">
    <w:abstractNumId w:val="3"/>
  </w:num>
  <w:num w:numId="3" w16cid:durableId="249003877">
    <w:abstractNumId w:val="0"/>
  </w:num>
  <w:num w:numId="4" w16cid:durableId="18929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46"/>
    <w:rsid w:val="00004995"/>
    <w:rsid w:val="00030E25"/>
    <w:rsid w:val="000325E6"/>
    <w:rsid w:val="00035090"/>
    <w:rsid w:val="00042AF3"/>
    <w:rsid w:val="0006726C"/>
    <w:rsid w:val="000B63E8"/>
    <w:rsid w:val="000C7CC2"/>
    <w:rsid w:val="001023CC"/>
    <w:rsid w:val="00166C99"/>
    <w:rsid w:val="001804C9"/>
    <w:rsid w:val="0018726E"/>
    <w:rsid w:val="001B2C3E"/>
    <w:rsid w:val="001C00B4"/>
    <w:rsid w:val="001C260B"/>
    <w:rsid w:val="002154EB"/>
    <w:rsid w:val="002579F7"/>
    <w:rsid w:val="00260BB1"/>
    <w:rsid w:val="002A5923"/>
    <w:rsid w:val="002F6043"/>
    <w:rsid w:val="00310B66"/>
    <w:rsid w:val="00321CC4"/>
    <w:rsid w:val="00351B0C"/>
    <w:rsid w:val="00351C49"/>
    <w:rsid w:val="003A4D7D"/>
    <w:rsid w:val="003C219E"/>
    <w:rsid w:val="00424DA9"/>
    <w:rsid w:val="0043078A"/>
    <w:rsid w:val="00446F78"/>
    <w:rsid w:val="00457A3D"/>
    <w:rsid w:val="00462D8B"/>
    <w:rsid w:val="00465C19"/>
    <w:rsid w:val="004734E5"/>
    <w:rsid w:val="00475149"/>
    <w:rsid w:val="004C7A39"/>
    <w:rsid w:val="004E5005"/>
    <w:rsid w:val="00505D34"/>
    <w:rsid w:val="0053218F"/>
    <w:rsid w:val="0056773A"/>
    <w:rsid w:val="00572601"/>
    <w:rsid w:val="00573678"/>
    <w:rsid w:val="00586FB8"/>
    <w:rsid w:val="00597A3E"/>
    <w:rsid w:val="005E4CC1"/>
    <w:rsid w:val="006036AA"/>
    <w:rsid w:val="006057BE"/>
    <w:rsid w:val="00620071"/>
    <w:rsid w:val="00627488"/>
    <w:rsid w:val="0068033D"/>
    <w:rsid w:val="00682159"/>
    <w:rsid w:val="0069643E"/>
    <w:rsid w:val="007014F4"/>
    <w:rsid w:val="00704B65"/>
    <w:rsid w:val="00712903"/>
    <w:rsid w:val="00742421"/>
    <w:rsid w:val="0079009F"/>
    <w:rsid w:val="007B62B6"/>
    <w:rsid w:val="007F1860"/>
    <w:rsid w:val="007F237D"/>
    <w:rsid w:val="00832D58"/>
    <w:rsid w:val="00842CE4"/>
    <w:rsid w:val="00892223"/>
    <w:rsid w:val="008948BA"/>
    <w:rsid w:val="008A5BC3"/>
    <w:rsid w:val="008C05D2"/>
    <w:rsid w:val="008C4F82"/>
    <w:rsid w:val="008D187E"/>
    <w:rsid w:val="008F58F3"/>
    <w:rsid w:val="00955D8F"/>
    <w:rsid w:val="0096274D"/>
    <w:rsid w:val="00A33243"/>
    <w:rsid w:val="00A34188"/>
    <w:rsid w:val="00A62367"/>
    <w:rsid w:val="00AF4CFC"/>
    <w:rsid w:val="00B203D9"/>
    <w:rsid w:val="00B45A02"/>
    <w:rsid w:val="00B56735"/>
    <w:rsid w:val="00B96AF0"/>
    <w:rsid w:val="00BA3825"/>
    <w:rsid w:val="00BC11B2"/>
    <w:rsid w:val="00BF12AF"/>
    <w:rsid w:val="00C4787C"/>
    <w:rsid w:val="00C65393"/>
    <w:rsid w:val="00C914E6"/>
    <w:rsid w:val="00C96804"/>
    <w:rsid w:val="00CA6B30"/>
    <w:rsid w:val="00CD5A46"/>
    <w:rsid w:val="00D031D3"/>
    <w:rsid w:val="00D5697F"/>
    <w:rsid w:val="00DC18F6"/>
    <w:rsid w:val="00DE7DB5"/>
    <w:rsid w:val="00E050AE"/>
    <w:rsid w:val="00E83B86"/>
    <w:rsid w:val="00E86144"/>
    <w:rsid w:val="00FA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E94E"/>
  <w15:chartTrackingRefBased/>
  <w15:docId w15:val="{9294ACF4-32BB-40D3-90E2-387A03A4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78"/>
    <w:pPr>
      <w:spacing w:after="0" w:line="360" w:lineRule="auto"/>
      <w:jc w:val="both"/>
    </w:pPr>
    <w:rPr>
      <w:rFonts w:ascii="Arial" w:hAnsi="Arial"/>
      <w:color w:val="000000" w:themeColor="text1"/>
      <w:lang w:val="pt-BR"/>
    </w:rPr>
  </w:style>
  <w:style w:type="paragraph" w:styleId="Heading1">
    <w:name w:val="heading 1"/>
    <w:basedOn w:val="Normal"/>
    <w:next w:val="Normal"/>
    <w:link w:val="Heading1Char"/>
    <w:autoRedefine/>
    <w:uiPriority w:val="9"/>
    <w:qFormat/>
    <w:rsid w:val="008C05D2"/>
    <w:pPr>
      <w:keepNext/>
      <w:keepLines/>
      <w:outlineLvl w:val="0"/>
    </w:pPr>
    <w:rPr>
      <w:rFonts w:eastAsiaTheme="majorEastAsia" w:cstheme="majorBidi"/>
      <w:sz w:val="28"/>
      <w:szCs w:val="40"/>
    </w:rPr>
  </w:style>
  <w:style w:type="paragraph" w:styleId="Heading2">
    <w:name w:val="heading 2"/>
    <w:basedOn w:val="Normal"/>
    <w:next w:val="Normal"/>
    <w:link w:val="Heading2Char"/>
    <w:autoRedefine/>
    <w:uiPriority w:val="9"/>
    <w:unhideWhenUsed/>
    <w:qFormat/>
    <w:rsid w:val="00351C49"/>
    <w:pPr>
      <w:keepNext/>
      <w:keepLines/>
      <w:outlineLvl w:val="1"/>
    </w:pPr>
    <w:rPr>
      <w:rFonts w:eastAsiaTheme="majorEastAsia" w:cstheme="majorBidi"/>
      <w:b/>
      <w:caps/>
      <w:sz w:val="20"/>
      <w:szCs w:val="32"/>
    </w:rPr>
  </w:style>
  <w:style w:type="paragraph" w:styleId="Heading3">
    <w:name w:val="heading 3"/>
    <w:basedOn w:val="Heading2"/>
    <w:next w:val="Normal"/>
    <w:link w:val="Heading3Char"/>
    <w:autoRedefine/>
    <w:uiPriority w:val="9"/>
    <w:unhideWhenUsed/>
    <w:qFormat/>
    <w:rsid w:val="00351C49"/>
    <w:pPr>
      <w:spacing w:before="160"/>
      <w:outlineLvl w:val="2"/>
    </w:pPr>
    <w:rPr>
      <w:szCs w:val="28"/>
    </w:rPr>
  </w:style>
  <w:style w:type="paragraph" w:styleId="Heading4">
    <w:name w:val="heading 4"/>
    <w:basedOn w:val="Normal"/>
    <w:next w:val="Normal"/>
    <w:link w:val="Heading4Char"/>
    <w:uiPriority w:val="9"/>
    <w:semiHidden/>
    <w:unhideWhenUsed/>
    <w:qFormat/>
    <w:rsid w:val="00CD5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A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A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A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A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D2"/>
    <w:rPr>
      <w:rFonts w:ascii="Arial" w:eastAsiaTheme="majorEastAsia" w:hAnsi="Arial" w:cstheme="majorBidi"/>
      <w:color w:val="000000" w:themeColor="text1"/>
      <w:sz w:val="28"/>
      <w:szCs w:val="40"/>
      <w:lang w:val="pt-BR"/>
    </w:rPr>
  </w:style>
  <w:style w:type="character" w:customStyle="1" w:styleId="Heading2Char">
    <w:name w:val="Heading 2 Char"/>
    <w:basedOn w:val="DefaultParagraphFont"/>
    <w:link w:val="Heading2"/>
    <w:uiPriority w:val="9"/>
    <w:rsid w:val="00351C49"/>
    <w:rPr>
      <w:rFonts w:ascii="Arial" w:eastAsiaTheme="majorEastAsia" w:hAnsi="Arial" w:cstheme="majorBidi"/>
      <w:b/>
      <w:caps/>
      <w:color w:val="000000" w:themeColor="text1"/>
      <w:sz w:val="20"/>
      <w:szCs w:val="32"/>
      <w:lang w:val="pt-BR"/>
    </w:rPr>
  </w:style>
  <w:style w:type="character" w:customStyle="1" w:styleId="Heading3Char">
    <w:name w:val="Heading 3 Char"/>
    <w:basedOn w:val="DefaultParagraphFont"/>
    <w:link w:val="Heading3"/>
    <w:uiPriority w:val="9"/>
    <w:rsid w:val="00351C49"/>
    <w:rPr>
      <w:rFonts w:ascii="Arial" w:eastAsiaTheme="majorEastAsia" w:hAnsi="Arial" w:cstheme="majorBidi"/>
      <w:b/>
      <w:caps/>
      <w:color w:val="000000" w:themeColor="text1"/>
      <w:sz w:val="20"/>
      <w:szCs w:val="28"/>
      <w:lang w:val="pt-BR"/>
    </w:rPr>
  </w:style>
  <w:style w:type="character" w:customStyle="1" w:styleId="Heading4Char">
    <w:name w:val="Heading 4 Char"/>
    <w:basedOn w:val="DefaultParagraphFont"/>
    <w:link w:val="Heading4"/>
    <w:uiPriority w:val="9"/>
    <w:semiHidden/>
    <w:rsid w:val="00CD5A46"/>
    <w:rPr>
      <w:rFonts w:eastAsiaTheme="majorEastAsia" w:cstheme="majorBidi"/>
      <w:i/>
      <w:iCs/>
      <w:color w:val="2F5496" w:themeColor="accent1" w:themeShade="BF"/>
      <w:lang w:val="pt-BR"/>
    </w:rPr>
  </w:style>
  <w:style w:type="character" w:customStyle="1" w:styleId="Heading5Char">
    <w:name w:val="Heading 5 Char"/>
    <w:basedOn w:val="DefaultParagraphFont"/>
    <w:link w:val="Heading5"/>
    <w:uiPriority w:val="9"/>
    <w:semiHidden/>
    <w:rsid w:val="00CD5A46"/>
    <w:rPr>
      <w:rFonts w:eastAsiaTheme="majorEastAsia" w:cstheme="majorBidi"/>
      <w:color w:val="2F5496" w:themeColor="accent1" w:themeShade="BF"/>
      <w:lang w:val="pt-BR"/>
    </w:rPr>
  </w:style>
  <w:style w:type="character" w:customStyle="1" w:styleId="Heading6Char">
    <w:name w:val="Heading 6 Char"/>
    <w:basedOn w:val="DefaultParagraphFont"/>
    <w:link w:val="Heading6"/>
    <w:uiPriority w:val="9"/>
    <w:semiHidden/>
    <w:rsid w:val="00CD5A46"/>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CD5A46"/>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CD5A46"/>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CD5A46"/>
    <w:rPr>
      <w:rFonts w:eastAsiaTheme="majorEastAsia" w:cstheme="majorBidi"/>
      <w:color w:val="272727" w:themeColor="text1" w:themeTint="D8"/>
      <w:lang w:val="pt-BR"/>
    </w:rPr>
  </w:style>
  <w:style w:type="paragraph" w:styleId="Title">
    <w:name w:val="Title"/>
    <w:basedOn w:val="Normal"/>
    <w:next w:val="Normal"/>
    <w:link w:val="TitleChar"/>
    <w:autoRedefine/>
    <w:uiPriority w:val="10"/>
    <w:qFormat/>
    <w:rsid w:val="00682159"/>
    <w:pPr>
      <w:spacing w:line="240" w:lineRule="auto"/>
      <w:contextualSpacing/>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682159"/>
    <w:rPr>
      <w:rFonts w:ascii="Arial" w:eastAsiaTheme="majorEastAsia" w:hAnsi="Arial" w:cstheme="majorBidi"/>
      <w:color w:val="000000" w:themeColor="text1"/>
      <w:spacing w:val="-10"/>
      <w:kern w:val="28"/>
      <w:sz w:val="28"/>
      <w:szCs w:val="56"/>
      <w:lang w:val="pt-BR"/>
    </w:rPr>
  </w:style>
  <w:style w:type="paragraph" w:styleId="Subtitle">
    <w:name w:val="Subtitle"/>
    <w:basedOn w:val="Normal"/>
    <w:next w:val="Normal"/>
    <w:link w:val="SubtitleChar"/>
    <w:autoRedefine/>
    <w:uiPriority w:val="11"/>
    <w:qFormat/>
    <w:rsid w:val="00457A3D"/>
    <w:pPr>
      <w:numPr>
        <w:ilvl w:val="1"/>
      </w:numPr>
    </w:pPr>
    <w:rPr>
      <w:rFonts w:eastAsiaTheme="majorEastAsia" w:cstheme="majorBidi"/>
      <w:spacing w:val="15"/>
      <w:szCs w:val="28"/>
    </w:rPr>
  </w:style>
  <w:style w:type="character" w:customStyle="1" w:styleId="SubtitleChar">
    <w:name w:val="Subtitle Char"/>
    <w:basedOn w:val="DefaultParagraphFont"/>
    <w:link w:val="Subtitle"/>
    <w:uiPriority w:val="11"/>
    <w:rsid w:val="00457A3D"/>
    <w:rPr>
      <w:rFonts w:ascii="Arial" w:eastAsiaTheme="majorEastAsia" w:hAnsi="Arial" w:cstheme="majorBidi"/>
      <w:color w:val="000000" w:themeColor="text1"/>
      <w:spacing w:val="15"/>
      <w:szCs w:val="28"/>
      <w:lang w:val="pt-BR"/>
    </w:rPr>
  </w:style>
  <w:style w:type="paragraph" w:styleId="Quote">
    <w:name w:val="Quote"/>
    <w:basedOn w:val="Normal"/>
    <w:next w:val="Normal"/>
    <w:link w:val="QuoteChar"/>
    <w:autoRedefine/>
    <w:uiPriority w:val="29"/>
    <w:qFormat/>
    <w:rsid w:val="00620071"/>
    <w:pPr>
      <w:spacing w:before="160"/>
      <w:jc w:val="center"/>
    </w:pPr>
    <w:rPr>
      <w:i/>
      <w:iCs/>
      <w:sz w:val="20"/>
    </w:rPr>
  </w:style>
  <w:style w:type="character" w:customStyle="1" w:styleId="QuoteChar">
    <w:name w:val="Quote Char"/>
    <w:basedOn w:val="DefaultParagraphFont"/>
    <w:link w:val="Quote"/>
    <w:uiPriority w:val="29"/>
    <w:rsid w:val="00620071"/>
    <w:rPr>
      <w:rFonts w:ascii="Arial" w:hAnsi="Arial"/>
      <w:i/>
      <w:iCs/>
      <w:color w:val="000000" w:themeColor="text1"/>
      <w:sz w:val="20"/>
      <w:lang w:val="pt-BR"/>
    </w:rPr>
  </w:style>
  <w:style w:type="paragraph" w:styleId="ListParagraph">
    <w:name w:val="List Paragraph"/>
    <w:basedOn w:val="Normal"/>
    <w:uiPriority w:val="34"/>
    <w:rsid w:val="00CD5A46"/>
    <w:pPr>
      <w:ind w:left="720"/>
      <w:contextualSpacing/>
    </w:pPr>
  </w:style>
  <w:style w:type="character" w:styleId="IntenseEmphasis">
    <w:name w:val="Intense Emphasis"/>
    <w:basedOn w:val="DefaultParagraphFont"/>
    <w:uiPriority w:val="21"/>
    <w:rsid w:val="00CD5A46"/>
    <w:rPr>
      <w:i/>
      <w:iCs/>
      <w:color w:val="2F5496" w:themeColor="accent1" w:themeShade="BF"/>
    </w:rPr>
  </w:style>
  <w:style w:type="paragraph" w:styleId="IntenseQuote">
    <w:name w:val="Intense Quote"/>
    <w:basedOn w:val="Normal"/>
    <w:next w:val="Normal"/>
    <w:link w:val="IntenseQuoteChar"/>
    <w:uiPriority w:val="30"/>
    <w:rsid w:val="00CD5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A46"/>
    <w:rPr>
      <w:i/>
      <w:iCs/>
      <w:color w:val="2F5496" w:themeColor="accent1" w:themeShade="BF"/>
      <w:lang w:val="pt-BR"/>
    </w:rPr>
  </w:style>
  <w:style w:type="character" w:styleId="IntenseReference">
    <w:name w:val="Intense Reference"/>
    <w:basedOn w:val="DefaultParagraphFont"/>
    <w:uiPriority w:val="32"/>
    <w:rsid w:val="00CD5A46"/>
    <w:rPr>
      <w:b/>
      <w:bCs/>
      <w:smallCaps/>
      <w:color w:val="2F5496" w:themeColor="accent1" w:themeShade="BF"/>
      <w:spacing w:val="5"/>
    </w:rPr>
  </w:style>
  <w:style w:type="paragraph" w:styleId="Caption">
    <w:name w:val="caption"/>
    <w:basedOn w:val="Normal"/>
    <w:next w:val="Normal"/>
    <w:uiPriority w:val="35"/>
    <w:unhideWhenUsed/>
    <w:qFormat/>
    <w:rsid w:val="00842CE4"/>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446F78"/>
    <w:pPr>
      <w:spacing w:line="480" w:lineRule="auto"/>
      <w:ind w:left="720" w:hanging="720"/>
    </w:pPr>
  </w:style>
  <w:style w:type="character" w:styleId="PlaceholderText">
    <w:name w:val="Placeholder Text"/>
    <w:basedOn w:val="DefaultParagraphFont"/>
    <w:uiPriority w:val="99"/>
    <w:semiHidden/>
    <w:rsid w:val="00351C49"/>
    <w:rPr>
      <w:color w:val="808080"/>
    </w:rPr>
  </w:style>
  <w:style w:type="paragraph" w:styleId="Header">
    <w:name w:val="header"/>
    <w:basedOn w:val="Normal"/>
    <w:link w:val="HeaderChar"/>
    <w:uiPriority w:val="99"/>
    <w:unhideWhenUsed/>
    <w:rsid w:val="005E4CC1"/>
    <w:pPr>
      <w:tabs>
        <w:tab w:val="center" w:pos="4252"/>
        <w:tab w:val="right" w:pos="8504"/>
      </w:tabs>
      <w:spacing w:line="240" w:lineRule="auto"/>
    </w:pPr>
  </w:style>
  <w:style w:type="character" w:customStyle="1" w:styleId="HeaderChar">
    <w:name w:val="Header Char"/>
    <w:basedOn w:val="DefaultParagraphFont"/>
    <w:link w:val="Header"/>
    <w:uiPriority w:val="99"/>
    <w:rsid w:val="005E4CC1"/>
    <w:rPr>
      <w:rFonts w:ascii="Arial" w:hAnsi="Arial"/>
      <w:color w:val="000000" w:themeColor="text1"/>
      <w:lang w:val="pt-BR"/>
    </w:rPr>
  </w:style>
  <w:style w:type="paragraph" w:styleId="Footer">
    <w:name w:val="footer"/>
    <w:basedOn w:val="Normal"/>
    <w:link w:val="FooterChar"/>
    <w:uiPriority w:val="99"/>
    <w:unhideWhenUsed/>
    <w:rsid w:val="005E4CC1"/>
    <w:pPr>
      <w:tabs>
        <w:tab w:val="center" w:pos="4252"/>
        <w:tab w:val="right" w:pos="8504"/>
      </w:tabs>
      <w:spacing w:line="240" w:lineRule="auto"/>
    </w:pPr>
  </w:style>
  <w:style w:type="character" w:customStyle="1" w:styleId="FooterChar">
    <w:name w:val="Footer Char"/>
    <w:basedOn w:val="DefaultParagraphFont"/>
    <w:link w:val="Footer"/>
    <w:uiPriority w:val="99"/>
    <w:rsid w:val="005E4CC1"/>
    <w:rPr>
      <w:rFonts w:ascii="Arial" w:hAnsi="Arial"/>
      <w:color w:val="000000" w:themeColor="text1"/>
      <w:lang w:val="pt-BR"/>
    </w:rPr>
  </w:style>
  <w:style w:type="character" w:styleId="CommentReference">
    <w:name w:val="annotation reference"/>
    <w:basedOn w:val="DefaultParagraphFont"/>
    <w:uiPriority w:val="99"/>
    <w:semiHidden/>
    <w:unhideWhenUsed/>
    <w:rsid w:val="00892223"/>
    <w:rPr>
      <w:sz w:val="16"/>
      <w:szCs w:val="16"/>
    </w:rPr>
  </w:style>
  <w:style w:type="paragraph" w:styleId="CommentText">
    <w:name w:val="annotation text"/>
    <w:basedOn w:val="Normal"/>
    <w:link w:val="CommentTextChar"/>
    <w:uiPriority w:val="99"/>
    <w:semiHidden/>
    <w:unhideWhenUsed/>
    <w:rsid w:val="00892223"/>
    <w:pPr>
      <w:spacing w:line="240" w:lineRule="auto"/>
    </w:pPr>
    <w:rPr>
      <w:sz w:val="20"/>
      <w:szCs w:val="20"/>
    </w:rPr>
  </w:style>
  <w:style w:type="character" w:customStyle="1" w:styleId="CommentTextChar">
    <w:name w:val="Comment Text Char"/>
    <w:basedOn w:val="DefaultParagraphFont"/>
    <w:link w:val="CommentText"/>
    <w:uiPriority w:val="99"/>
    <w:semiHidden/>
    <w:rsid w:val="00892223"/>
    <w:rPr>
      <w:rFonts w:ascii="Arial" w:hAnsi="Arial"/>
      <w:color w:val="000000" w:themeColor="text1"/>
      <w:sz w:val="20"/>
      <w:szCs w:val="20"/>
      <w:lang w:val="pt-BR"/>
    </w:rPr>
  </w:style>
  <w:style w:type="paragraph" w:styleId="CommentSubject">
    <w:name w:val="annotation subject"/>
    <w:basedOn w:val="CommentText"/>
    <w:next w:val="CommentText"/>
    <w:link w:val="CommentSubjectChar"/>
    <w:uiPriority w:val="99"/>
    <w:semiHidden/>
    <w:unhideWhenUsed/>
    <w:rsid w:val="00892223"/>
    <w:rPr>
      <w:b/>
      <w:bCs/>
    </w:rPr>
  </w:style>
  <w:style w:type="character" w:customStyle="1" w:styleId="CommentSubjectChar">
    <w:name w:val="Comment Subject Char"/>
    <w:basedOn w:val="CommentTextChar"/>
    <w:link w:val="CommentSubject"/>
    <w:uiPriority w:val="99"/>
    <w:semiHidden/>
    <w:rsid w:val="00892223"/>
    <w:rPr>
      <w:rFonts w:ascii="Arial" w:hAnsi="Arial"/>
      <w:b/>
      <w:bCs/>
      <w:color w:val="000000" w:themeColor="text1"/>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8149">
      <w:bodyDiv w:val="1"/>
      <w:marLeft w:val="0"/>
      <w:marRight w:val="0"/>
      <w:marTop w:val="0"/>
      <w:marBottom w:val="0"/>
      <w:divBdr>
        <w:top w:val="none" w:sz="0" w:space="0" w:color="auto"/>
        <w:left w:val="none" w:sz="0" w:space="0" w:color="auto"/>
        <w:bottom w:val="none" w:sz="0" w:space="0" w:color="auto"/>
        <w:right w:val="none" w:sz="0" w:space="0" w:color="auto"/>
      </w:divBdr>
    </w:div>
    <w:div w:id="272901345">
      <w:bodyDiv w:val="1"/>
      <w:marLeft w:val="0"/>
      <w:marRight w:val="0"/>
      <w:marTop w:val="0"/>
      <w:marBottom w:val="0"/>
      <w:divBdr>
        <w:top w:val="none" w:sz="0" w:space="0" w:color="auto"/>
        <w:left w:val="none" w:sz="0" w:space="0" w:color="auto"/>
        <w:bottom w:val="none" w:sz="0" w:space="0" w:color="auto"/>
        <w:right w:val="none" w:sz="0" w:space="0" w:color="auto"/>
      </w:divBdr>
    </w:div>
    <w:div w:id="537552455">
      <w:bodyDiv w:val="1"/>
      <w:marLeft w:val="0"/>
      <w:marRight w:val="0"/>
      <w:marTop w:val="0"/>
      <w:marBottom w:val="0"/>
      <w:divBdr>
        <w:top w:val="none" w:sz="0" w:space="0" w:color="auto"/>
        <w:left w:val="none" w:sz="0" w:space="0" w:color="auto"/>
        <w:bottom w:val="none" w:sz="0" w:space="0" w:color="auto"/>
        <w:right w:val="none" w:sz="0" w:space="0" w:color="auto"/>
      </w:divBdr>
      <w:divsChild>
        <w:div w:id="707682638">
          <w:marLeft w:val="0"/>
          <w:marRight w:val="0"/>
          <w:marTop w:val="0"/>
          <w:marBottom w:val="0"/>
          <w:divBdr>
            <w:top w:val="none" w:sz="0" w:space="0" w:color="auto"/>
            <w:left w:val="none" w:sz="0" w:space="0" w:color="auto"/>
            <w:bottom w:val="none" w:sz="0" w:space="0" w:color="auto"/>
            <w:right w:val="none" w:sz="0" w:space="0" w:color="auto"/>
          </w:divBdr>
          <w:divsChild>
            <w:div w:id="1710644107">
              <w:marLeft w:val="0"/>
              <w:marRight w:val="0"/>
              <w:marTop w:val="0"/>
              <w:marBottom w:val="0"/>
              <w:divBdr>
                <w:top w:val="none" w:sz="0" w:space="0" w:color="auto"/>
                <w:left w:val="none" w:sz="0" w:space="0" w:color="auto"/>
                <w:bottom w:val="none" w:sz="0" w:space="0" w:color="auto"/>
                <w:right w:val="none" w:sz="0" w:space="0" w:color="auto"/>
              </w:divBdr>
            </w:div>
            <w:div w:id="426580737">
              <w:marLeft w:val="0"/>
              <w:marRight w:val="0"/>
              <w:marTop w:val="0"/>
              <w:marBottom w:val="0"/>
              <w:divBdr>
                <w:top w:val="none" w:sz="0" w:space="0" w:color="auto"/>
                <w:left w:val="none" w:sz="0" w:space="0" w:color="auto"/>
                <w:bottom w:val="none" w:sz="0" w:space="0" w:color="auto"/>
                <w:right w:val="none" w:sz="0" w:space="0" w:color="auto"/>
              </w:divBdr>
            </w:div>
            <w:div w:id="19905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9508">
      <w:bodyDiv w:val="1"/>
      <w:marLeft w:val="0"/>
      <w:marRight w:val="0"/>
      <w:marTop w:val="0"/>
      <w:marBottom w:val="0"/>
      <w:divBdr>
        <w:top w:val="none" w:sz="0" w:space="0" w:color="auto"/>
        <w:left w:val="none" w:sz="0" w:space="0" w:color="auto"/>
        <w:bottom w:val="none" w:sz="0" w:space="0" w:color="auto"/>
        <w:right w:val="none" w:sz="0" w:space="0" w:color="auto"/>
      </w:divBdr>
    </w:div>
    <w:div w:id="792214671">
      <w:bodyDiv w:val="1"/>
      <w:marLeft w:val="0"/>
      <w:marRight w:val="0"/>
      <w:marTop w:val="0"/>
      <w:marBottom w:val="0"/>
      <w:divBdr>
        <w:top w:val="none" w:sz="0" w:space="0" w:color="auto"/>
        <w:left w:val="none" w:sz="0" w:space="0" w:color="auto"/>
        <w:bottom w:val="none" w:sz="0" w:space="0" w:color="auto"/>
        <w:right w:val="none" w:sz="0" w:space="0" w:color="auto"/>
      </w:divBdr>
      <w:divsChild>
        <w:div w:id="1057975742">
          <w:marLeft w:val="0"/>
          <w:marRight w:val="0"/>
          <w:marTop w:val="0"/>
          <w:marBottom w:val="0"/>
          <w:divBdr>
            <w:top w:val="none" w:sz="0" w:space="0" w:color="auto"/>
            <w:left w:val="none" w:sz="0" w:space="0" w:color="auto"/>
            <w:bottom w:val="none" w:sz="0" w:space="0" w:color="auto"/>
            <w:right w:val="none" w:sz="0" w:space="0" w:color="auto"/>
          </w:divBdr>
        </w:div>
      </w:divsChild>
    </w:div>
    <w:div w:id="833303539">
      <w:bodyDiv w:val="1"/>
      <w:marLeft w:val="0"/>
      <w:marRight w:val="0"/>
      <w:marTop w:val="0"/>
      <w:marBottom w:val="0"/>
      <w:divBdr>
        <w:top w:val="none" w:sz="0" w:space="0" w:color="auto"/>
        <w:left w:val="none" w:sz="0" w:space="0" w:color="auto"/>
        <w:bottom w:val="none" w:sz="0" w:space="0" w:color="auto"/>
        <w:right w:val="none" w:sz="0" w:space="0" w:color="auto"/>
      </w:divBdr>
    </w:div>
    <w:div w:id="1056856160">
      <w:bodyDiv w:val="1"/>
      <w:marLeft w:val="0"/>
      <w:marRight w:val="0"/>
      <w:marTop w:val="0"/>
      <w:marBottom w:val="0"/>
      <w:divBdr>
        <w:top w:val="none" w:sz="0" w:space="0" w:color="auto"/>
        <w:left w:val="none" w:sz="0" w:space="0" w:color="auto"/>
        <w:bottom w:val="none" w:sz="0" w:space="0" w:color="auto"/>
        <w:right w:val="none" w:sz="0" w:space="0" w:color="auto"/>
      </w:divBdr>
      <w:divsChild>
        <w:div w:id="1717853652">
          <w:marLeft w:val="0"/>
          <w:marRight w:val="0"/>
          <w:marTop w:val="0"/>
          <w:marBottom w:val="0"/>
          <w:divBdr>
            <w:top w:val="none" w:sz="0" w:space="0" w:color="auto"/>
            <w:left w:val="none" w:sz="0" w:space="0" w:color="auto"/>
            <w:bottom w:val="none" w:sz="0" w:space="0" w:color="auto"/>
            <w:right w:val="none" w:sz="0" w:space="0" w:color="auto"/>
          </w:divBdr>
          <w:divsChild>
            <w:div w:id="319624073">
              <w:marLeft w:val="0"/>
              <w:marRight w:val="0"/>
              <w:marTop w:val="0"/>
              <w:marBottom w:val="0"/>
              <w:divBdr>
                <w:top w:val="none" w:sz="0" w:space="0" w:color="auto"/>
                <w:left w:val="none" w:sz="0" w:space="0" w:color="auto"/>
                <w:bottom w:val="none" w:sz="0" w:space="0" w:color="auto"/>
                <w:right w:val="none" w:sz="0" w:space="0" w:color="auto"/>
              </w:divBdr>
            </w:div>
            <w:div w:id="18982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7224">
      <w:bodyDiv w:val="1"/>
      <w:marLeft w:val="0"/>
      <w:marRight w:val="0"/>
      <w:marTop w:val="0"/>
      <w:marBottom w:val="0"/>
      <w:divBdr>
        <w:top w:val="none" w:sz="0" w:space="0" w:color="auto"/>
        <w:left w:val="none" w:sz="0" w:space="0" w:color="auto"/>
        <w:bottom w:val="none" w:sz="0" w:space="0" w:color="auto"/>
        <w:right w:val="none" w:sz="0" w:space="0" w:color="auto"/>
      </w:divBdr>
    </w:div>
    <w:div w:id="1260799457">
      <w:bodyDiv w:val="1"/>
      <w:marLeft w:val="0"/>
      <w:marRight w:val="0"/>
      <w:marTop w:val="0"/>
      <w:marBottom w:val="0"/>
      <w:divBdr>
        <w:top w:val="none" w:sz="0" w:space="0" w:color="auto"/>
        <w:left w:val="none" w:sz="0" w:space="0" w:color="auto"/>
        <w:bottom w:val="none" w:sz="0" w:space="0" w:color="auto"/>
        <w:right w:val="none" w:sz="0" w:space="0" w:color="auto"/>
      </w:divBdr>
    </w:div>
    <w:div w:id="1291940761">
      <w:bodyDiv w:val="1"/>
      <w:marLeft w:val="0"/>
      <w:marRight w:val="0"/>
      <w:marTop w:val="0"/>
      <w:marBottom w:val="0"/>
      <w:divBdr>
        <w:top w:val="none" w:sz="0" w:space="0" w:color="auto"/>
        <w:left w:val="none" w:sz="0" w:space="0" w:color="auto"/>
        <w:bottom w:val="none" w:sz="0" w:space="0" w:color="auto"/>
        <w:right w:val="none" w:sz="0" w:space="0" w:color="auto"/>
      </w:divBdr>
    </w:div>
    <w:div w:id="1446193764">
      <w:bodyDiv w:val="1"/>
      <w:marLeft w:val="0"/>
      <w:marRight w:val="0"/>
      <w:marTop w:val="0"/>
      <w:marBottom w:val="0"/>
      <w:divBdr>
        <w:top w:val="none" w:sz="0" w:space="0" w:color="auto"/>
        <w:left w:val="none" w:sz="0" w:space="0" w:color="auto"/>
        <w:bottom w:val="none" w:sz="0" w:space="0" w:color="auto"/>
        <w:right w:val="none" w:sz="0" w:space="0" w:color="auto"/>
      </w:divBdr>
    </w:div>
    <w:div w:id="1742871488">
      <w:bodyDiv w:val="1"/>
      <w:marLeft w:val="0"/>
      <w:marRight w:val="0"/>
      <w:marTop w:val="0"/>
      <w:marBottom w:val="0"/>
      <w:divBdr>
        <w:top w:val="none" w:sz="0" w:space="0" w:color="auto"/>
        <w:left w:val="none" w:sz="0" w:space="0" w:color="auto"/>
        <w:bottom w:val="none" w:sz="0" w:space="0" w:color="auto"/>
        <w:right w:val="none" w:sz="0" w:space="0" w:color="auto"/>
      </w:divBdr>
    </w:div>
    <w:div w:id="1784298065">
      <w:bodyDiv w:val="1"/>
      <w:marLeft w:val="0"/>
      <w:marRight w:val="0"/>
      <w:marTop w:val="0"/>
      <w:marBottom w:val="0"/>
      <w:divBdr>
        <w:top w:val="none" w:sz="0" w:space="0" w:color="auto"/>
        <w:left w:val="none" w:sz="0" w:space="0" w:color="auto"/>
        <w:bottom w:val="none" w:sz="0" w:space="0" w:color="auto"/>
        <w:right w:val="none" w:sz="0" w:space="0" w:color="auto"/>
      </w:divBdr>
      <w:divsChild>
        <w:div w:id="296768027">
          <w:marLeft w:val="0"/>
          <w:marRight w:val="0"/>
          <w:marTop w:val="0"/>
          <w:marBottom w:val="0"/>
          <w:divBdr>
            <w:top w:val="none" w:sz="0" w:space="0" w:color="auto"/>
            <w:left w:val="none" w:sz="0" w:space="0" w:color="auto"/>
            <w:bottom w:val="none" w:sz="0" w:space="0" w:color="auto"/>
            <w:right w:val="none" w:sz="0" w:space="0" w:color="auto"/>
          </w:divBdr>
        </w:div>
      </w:divsChild>
    </w:div>
    <w:div w:id="1829445296">
      <w:bodyDiv w:val="1"/>
      <w:marLeft w:val="0"/>
      <w:marRight w:val="0"/>
      <w:marTop w:val="0"/>
      <w:marBottom w:val="0"/>
      <w:divBdr>
        <w:top w:val="none" w:sz="0" w:space="0" w:color="auto"/>
        <w:left w:val="none" w:sz="0" w:space="0" w:color="auto"/>
        <w:bottom w:val="none" w:sz="0" w:space="0" w:color="auto"/>
        <w:right w:val="none" w:sz="0" w:space="0" w:color="auto"/>
      </w:divBdr>
    </w:div>
    <w:div w:id="1856580042">
      <w:bodyDiv w:val="1"/>
      <w:marLeft w:val="0"/>
      <w:marRight w:val="0"/>
      <w:marTop w:val="0"/>
      <w:marBottom w:val="0"/>
      <w:divBdr>
        <w:top w:val="none" w:sz="0" w:space="0" w:color="auto"/>
        <w:left w:val="none" w:sz="0" w:space="0" w:color="auto"/>
        <w:bottom w:val="none" w:sz="0" w:space="0" w:color="auto"/>
        <w:right w:val="none" w:sz="0" w:space="0" w:color="auto"/>
      </w:divBdr>
    </w:div>
    <w:div w:id="1904288488">
      <w:bodyDiv w:val="1"/>
      <w:marLeft w:val="0"/>
      <w:marRight w:val="0"/>
      <w:marTop w:val="0"/>
      <w:marBottom w:val="0"/>
      <w:divBdr>
        <w:top w:val="none" w:sz="0" w:space="0" w:color="auto"/>
        <w:left w:val="none" w:sz="0" w:space="0" w:color="auto"/>
        <w:bottom w:val="none" w:sz="0" w:space="0" w:color="auto"/>
        <w:right w:val="none" w:sz="0" w:space="0" w:color="auto"/>
      </w:divBdr>
      <w:divsChild>
        <w:div w:id="605500886">
          <w:marLeft w:val="0"/>
          <w:marRight w:val="0"/>
          <w:marTop w:val="0"/>
          <w:marBottom w:val="0"/>
          <w:divBdr>
            <w:top w:val="none" w:sz="0" w:space="0" w:color="auto"/>
            <w:left w:val="none" w:sz="0" w:space="0" w:color="auto"/>
            <w:bottom w:val="none" w:sz="0" w:space="0" w:color="auto"/>
            <w:right w:val="none" w:sz="0" w:space="0" w:color="auto"/>
          </w:divBdr>
          <w:divsChild>
            <w:div w:id="1551696756">
              <w:marLeft w:val="0"/>
              <w:marRight w:val="0"/>
              <w:marTop w:val="0"/>
              <w:marBottom w:val="0"/>
              <w:divBdr>
                <w:top w:val="none" w:sz="0" w:space="0" w:color="auto"/>
                <w:left w:val="none" w:sz="0" w:space="0" w:color="auto"/>
                <w:bottom w:val="none" w:sz="0" w:space="0" w:color="auto"/>
                <w:right w:val="none" w:sz="0" w:space="0" w:color="auto"/>
              </w:divBdr>
            </w:div>
            <w:div w:id="2021621316">
              <w:marLeft w:val="0"/>
              <w:marRight w:val="0"/>
              <w:marTop w:val="0"/>
              <w:marBottom w:val="0"/>
              <w:divBdr>
                <w:top w:val="none" w:sz="0" w:space="0" w:color="auto"/>
                <w:left w:val="none" w:sz="0" w:space="0" w:color="auto"/>
                <w:bottom w:val="none" w:sz="0" w:space="0" w:color="auto"/>
                <w:right w:val="none" w:sz="0" w:space="0" w:color="auto"/>
              </w:divBdr>
            </w:div>
            <w:div w:id="6368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file>

<file path=customXml/itemProps1.xml><?xml version="1.0" encoding="utf-8"?>
<ds:datastoreItem xmlns:ds="http://schemas.openxmlformats.org/officeDocument/2006/customXml" ds:itemID="{A3D81A59-A3A0-4646-9D72-AFBD8C41A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1854</TotalTime>
  <Pages>40</Pages>
  <Words>28366</Words>
  <Characters>153177</Characters>
  <Application>Microsoft Office Word</Application>
  <DocSecurity>0</DocSecurity>
  <Lines>1276</Lines>
  <Paragraphs>362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dc:creator>
  <cp:keywords/>
  <dc:description/>
  <cp:lastModifiedBy>Matheus Costa</cp:lastModifiedBy>
  <cp:revision>26</cp:revision>
  <cp:lastPrinted>2025-11-19T18:35:00Z</cp:lastPrinted>
  <dcterms:created xsi:type="dcterms:W3CDTF">2025-10-19T14:16:00Z</dcterms:created>
  <dcterms:modified xsi:type="dcterms:W3CDTF">2025-12-09T14:13:00Z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id="7I5bqyj8"/&gt;&lt;style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