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MedBroker</w:t>
      </w:r>
    </w:p>
    <w:p>
      <w:pPr>
        <w:spacing w:after="80"/>
        <w:jc w:val="center"/>
      </w:pPr>
      <w:r>
        <w:rPr>
          <w:b/>
          <w:bCs/>
          <w:color w:val="2E2E2E"/>
          <w:sz w:val="30"/>
          <w:szCs w:val="30"/>
        </w:rPr>
        <w:t xml:space="preserve">Security &amp; Code Review — Findings</w:t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Project record — combined code review, mandatory control checklist, and encryption / access-control addendum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66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</w:t>
            </w:r>
          </w:p>
        </w:tc>
        <w:tc>
          <w:tcPr>
            <w:tcW w:type="dxa" w:w="66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MedBroker_Security_Code_Review_Findings.docx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Version</w:t>
            </w:r>
          </w:p>
        </w:tc>
        <w:tc>
          <w:tcPr>
            <w:tcW w:type="dxa" w:w="66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66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Living document — updated each review session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Author</w:t>
            </w:r>
          </w:p>
        </w:tc>
        <w:tc>
          <w:tcPr>
            <w:tcW w:type="dxa" w:w="66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Solution Architecture (Mark du Toit, with Claude)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issued</w:t>
            </w:r>
          </w:p>
        </w:tc>
        <w:tc>
          <w:tcPr>
            <w:tcW w:type="dxa" w:w="66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June 2026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Last updated</w:t>
            </w:r>
          </w:p>
        </w:tc>
        <w:tc>
          <w:tcPr>
            <w:tcW w:type="dxa" w:w="66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June 2026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1. Summary &amp; Method</w:t>
      </w:r>
    </w:p>
    <w:p>
      <w:pPr>
        <w:spacing w:after="120" w:before="0" w:line="264"/>
      </w:pPr>
      <w:r>
        <w:rPr>
          <w:sz w:val="22"/>
          <w:szCs w:val="22"/>
        </w:rPr>
        <w:t xml:space="preserve">This report records a combined security and code review of MedBroker, covering accuracy, robustness, anti-patterns, and a mandatory eight-area control checklist. The original pass (10 June 2026) superseded an earlier code-led review that surfaced code-level issues well but under-weighted controls living outside the application code (edge/WAF, transport, logging policy, cloud posture, third-party agreements). Section 5 (18 June 2026) adds a second, deeper pass focused specifically on encryption and access control, including code-level fixes implemented in the same session — see Section 5.3 for disposition.</w:t>
      </w:r>
    </w:p>
    <w:p>
      <w:pPr>
        <w:spacing w:after="160"/>
      </w:pPr>
    </w:p>
    <w:p>
      <w:pPr>
        <w:pStyle w:val="Heading1"/>
      </w:pPr>
      <w:r>
        <w:t xml:space="preserve">2. Code Review Findings (10 June 2026)</w:t>
      </w:r>
    </w:p>
    <w:p>
      <w:pPr>
        <w:spacing w:after="120" w:before="0" w:line="264"/>
      </w:pPr>
      <w:r>
        <w:rPr>
          <w:sz w:val="22"/>
          <w:szCs w:val="22"/>
        </w:rPr>
        <w:t xml:space="preserve">Items marked FIXED were patched as safe, non-breaking hygiene fixes with no impact on the Vercel demo. Items marked PARKED are deployment-phase work tracked in Status.md.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50"/>
        <w:gridCol w:w="4116"/>
        <w:gridCol w:w="1700"/>
        <w:gridCol w:w="1700"/>
      </w:tblGrid>
      <w:tr>
        <w:trPr>
          <w:tblHeader/>
        </w:trP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Sev.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Finding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Disposition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encryption.js imports @azure/keyvault-keys but package.json declared @azure/keyvault-secrets — encrypt/decrypt would crash at runtime.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package.json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FIXED — dependency corrected; unused deps removed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autoReturnLeads.js is a non-functional stub (getDbClient throws) that interpolates values directly into SQL — the project's forbidden injection pattern.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functions/autoReturnLeads.js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retained per scope; safety banner added. PARKED: rewrite parameterised at implementation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Hardcoded SQL admin password placeholder committed in IaC.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infra/main.bicep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FIXED — replaced with a @secure() parameter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 access token fetched once and never refreshed; no pool-init memoisation; no transient-fault retry.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services/db.js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PARKED — deployment hardening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 tier publicly reachable: SQL AllowAzureServices (0.0.0.0) + Key Vault public + no private endpoints.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infra/main.bicep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PARKED — network isolation at deployment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AzureWebJobsStorage embeds the storage account key (long-lived secret) in app settings.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infra/main.bicep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PARKED — switch to identity-based storage binding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Observability not wired: pino declared but unused; no health-check endpoint.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api/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PARKED — wire pino + /health at build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C8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Backups Local-redundant, not geo-redundant; restore never tested.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infra/main.bicep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PARKED — DR at deployment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411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CORS allowlist included localhost in all environments; Zoho external calls had no timeout.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main.bicep, zohoService.js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FIXED — CORS prod-conditional; 8s timeout on Zoho calls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Mandatory Control Checklist (Eight Areas)</w:t>
      </w:r>
    </w:p>
    <w:p>
      <w:pPr>
        <w:pStyle w:val="Heading2"/>
      </w:pPr>
      <w:r>
        <w:t xml:space="preserve">3.1 Identity &amp; access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JWT signature/exp/nbf/audience/issuer/type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auth.js — hardened 09 Jun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Server-side role checks; frontend gating not trusted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requireRole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IDOR / object-level authorisation swept systematically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 → see §5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Agent assignment enforced; Supervisor scoping was not — closed 18 Jun, see §5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 lifecycle (expiry/refresh/logout)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MSAL silent acquire + redirect; stateless JWT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3.2 Input &amp; data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Parameterised SQL everywhere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 in leads/leadService/broker; gap remains in autoReturnLeads (C2)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Schema validation / no mass assignment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Zod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CSV/file-import hardening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import endpoint yet — apply when CsvImportBatch is built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AEAD encryption; plaintext never in responses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GCM by design — was blocked by C1 (now fixed)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3.3 Edge &amp; transport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WAF across all public surfaces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None provisioned — Cloudflare Pro recommended (decision recorded)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DDoS protection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Included once Cloudflare/edge added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 / TLS 1.2 / HSTS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httpsOnly + SQL TLS 1.2 ok; HSTS header missing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Browser security headers (CSP, frame-ancestors, etc.)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vercel.json sets none; no SWA config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CORS restricted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Bicep allowlist; localhost now prod-excluded (C9)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endpoint origin-locked to WAF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supports header lock; inert until an edge exists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3.4 Abuse &amp; exfiltration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Rate limiting on authenticated endpoints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endpoint rate limiting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In-app best-effort added; edge WAF missing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Bulk-export / report exfiltration limits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Reports API not built — design in now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3.5 Logging &amp; audit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Special PI never written to logs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scrubbing — verify ID/medical never reach App Insights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 trail of who viewed/changed special PI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 → see §5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AuditLog table existed but Leads paths did not write to it — closed 18 Jun for create/assign/delete, see §5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Generic error responses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stack leakage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3.6 Cloud posture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Least-privilege RBAC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 → see §5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KV roles scoped; SQL admin secured (C3); app DB role design sound but dormant — see A5 in §5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Network isolation / private endpoints / SQL deny-public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Backup + geo-redundancy + tested restore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C8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3.7 Supply chain &amp; assurance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Dependency + secret scanning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CI — would have caught C1; vitest/vite/esbuild dev-toolchain CVEs confirmed 18 Jun (dev-only, not shipped)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SAST / DAST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configured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Penetration test before go-live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booked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3.8 POPIA &amp; third parties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Consent captured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Event capture; confirm on all paths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Residency — compute + database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southafricanorth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Cross-border transfer for sub-processors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Zoho (global), Calendly (US), Cloudflare edge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Operator agreements (Microsoft/Calendly/Zoho/Cloudflare)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place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Breach process; Information Officer registered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Gap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documented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SAR + erasure paths</w:t>
            </w:r>
          </w:p>
        </w:tc>
        <w:tc>
          <w:tcPr>
            <w:tcW w:type="dxa" w:w="1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50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Soft-delete exists; SAR endpoint Phase 2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4. Prioritised Remediation Plan (10 June 2026)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Immediate: C1 dependency fix (done) — the app cannot encrypt or read ID numbers without it.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Before any client data flows: WAF at the edge, special-PI log scrubbing, the audit trail, and the SQL admin secret (done) — the POPIA/FAIS non-negotiables.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Edge decision: adopt Cloudflare Pro in front of the Azure origin (~R400/month) for the OWASP managed ruleset, always-on DDoS, and rate limiting — versus Front Door Premium (~R6,000/month). Lock the origin to Cloudflare.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Rewrite autoReturnLeads parameterised against the real DB layer, or keep it disabled.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Harden the data tier: token refresh and retry, private endpoints, identity-based storage, geo-redundant backups.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Stand up assurance: dependency/secret scanning in CI, SAST/DAST, a penetration test before go-live.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POPIA paperwork: operator agreements and cross-border assessment for Zoho/Calendly/Cloudflare, breach process, Information Officer registration, SAR endpoint.</w:t>
      </w:r>
    </w:p>
    <w:p>
      <w:pPr>
        <w:spacing w:after="160"/>
      </w:pPr>
    </w:p>
    <w:p>
      <w:pPr>
        <w:pStyle w:val="Heading1"/>
      </w:pPr>
      <w:r>
        <w:t xml:space="preserve">5. Encryption &amp; Access Control Review — Addendum (18 June 2026)</w:t>
      </w:r>
    </w:p>
    <w:p>
      <w:pPr>
        <w:spacing w:after="120" w:before="0" w:line="264"/>
      </w:pPr>
      <w:r>
        <w:rPr>
          <w:sz w:val="22"/>
          <w:szCs w:val="22"/>
        </w:rPr>
        <w:t xml:space="preserve">A follow-up review specifically targeting data encryption and access control, requested in response to a general concern about breach exposure and data theft. This pass reads the actual code in api/src (not only the control-checklist level above) and identifies findings additional to C1–C9. The cryptographic design and DB-grant design are sound; the access-control layer had the more material gaps, the most significant being that the Supervisor role's stated security boundary was not enforced anywhere in the built code.</w:t>
      </w:r>
    </w:p>
    <w:p>
      <w:pPr>
        <w:spacing w:after="160"/>
      </w:pPr>
    </w:p>
    <w:p>
      <w:pPr>
        <w:pStyle w:val="Heading2"/>
      </w:pPr>
      <w:r>
        <w:t xml:space="preserve">5.1 Access Control Findings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50"/>
        <w:gridCol w:w="3550"/>
        <w:gridCol w:w="3966"/>
      </w:tblGrid>
      <w:tr>
        <w:trPr>
          <w:tblHeader/>
        </w:trP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Sev.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Finding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Recommendation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A1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listLeads, getLeadById, assignLead, and logCallAttempt special-cased only Agent (agentId = claims.oid). Supervisor received the same access as Admin — full organisation-wide read/write on every lead, not only direct reports — despite User.supervisorId existing in schema.sql specifically for this scoping.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 every Supervisor-only request to leads that are unassigned or assigned to a direct report, mirroring the existing Agent pattern. FIXED 18 Jun — see §5.3.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A2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assignLead and AssignLeadSchema validated only that agentId was a UUID — never that it referenced a real, active, org-scoped user with role Agent, let alone one reporting to the assigning Supervisor.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 and validate the target user server-side before the update; reject if not Agent / active / in-team. FIXED 18 Jun — see §5.3.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A3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User.isActive was never checked in the request path — only used as a filter in broker matching. A user deactivated in MedBroker (resignation, suspension, investigation) kept full API access for as long as their Entra token remained valid.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Cross-check User.isActive on every authenticated request, short-TTL cached. FIXED 18 Jun — see §5.3.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A4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code path wrote to AuditLog — not lead assignment, not deletion — despite the table, its INSERT-only DB grant, and code comments in the frontend API client all anticipating it. Abuse of A1/A3 would have been undetectable after the fact.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Write AuditLog entries on create / assign / reassign / delete. FIXED 18 Jun for Leads — see §5.3; extend to the Appointments API when built.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A5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intended least-privilege DB grants (scoped SELECT/INSERT/UPDATE per table, no DELETE on Lead, append-only AuditLog) exist only inside a commented-out manual SQL block in schema.sql, with no IaC automation and no check that the deployed Managed Identity's actual permissions match.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Move the GRANT block into the Bicep deployment pipeline as an automated post-create step; add a CI check against sys.database_permissions that fails the build on drift. PARKED — deployment-phase, infrastructure change.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A6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eventRegistration.js matches solely on self-reported email. The isRsvp flag in the response is an enumeration oracle (confirms whether an email is pre-registered for an event), and the RSVP-update branch unconditionally overwrites firstName/lastName with no identity check.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 a per-attendee token in the personalised RSVP link rather than trusting email; stop returning isRsvp; stop unconditional name overwrites. PARKED — not yet implemented.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5.2 Encryption Findings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50"/>
        <w:gridCol w:w="3550"/>
        <w:gridCol w:w="3966"/>
      </w:tblGrid>
      <w:tr>
        <w:trPr>
          <w:tblHeader/>
        </w:trP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Sev.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Finding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Recommendation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 (rises at multi-tenant consolidation)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ID_NUMBER_INDEX_KEY (the blind-index HMAC key) is a single global secret, not per-organisation. Safe while every customer has a fully separate database and Key Vault per the delivery model; would allow cross-tenant correlation of identical SA ID numbers if any future deployment consolidates to a shared multi-tenant database.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Derive the blind-index key per organisation (HKDF off a master secret, or a Key Vault secret per tenant) now, while cheap — same principle already applied to organisationId. PARKED — design decision, not yet implemented.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AES-256-GCM envelope carries no Additional Authenticated Data binding ciphertext to its owning record. With DB write access, one record's encrypted ID-number blob could be relocated onto a different row and would still decrypt successfully — an undetected substitution path.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 leadId and organisationId as AAD into createCipheriv / createDecipheriv. PARKED — not yet implemented.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E3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CryptographyClient is cached for the process lifetime and never invalidated. A Key Vault key rotation will not take effect until a cold start, and no procedure documents retaining old key versions so previously-wrapped data keys remain unwrappable after rotation.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the rotation procedure; consider keying the cache by key version. PARKED — operational documentation.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E4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Field-level encryption is scoped to idNumber only. medicalAid / medicalAidProvider rely on Transparent Data Encryption and access control alone.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 with whoever owns the POPIA sign-off whether health-adjacent fields warrant the same field-level treatment, as a deliberate documented decision rather than an implicit default.</w:t>
            </w:r>
          </w:p>
        </w:tc>
      </w:tr>
      <w:tr>
        <w:tc>
          <w:tcPr>
            <w:tcW w:type="dxa" w:w="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E5</w:t>
            </w:r>
          </w:p>
        </w:tc>
        <w:tc>
          <w:tcPr>
            <w:tcW w:type="dxa" w:w="9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3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auth.js hardcodes RS256 verification rather than reading and explicitly asserting header.alg first. Not currently exploitable — the algorithm is not attacker-influenced — but the explicit assertion is the standard defence-in-depth pattern.</w:t>
            </w:r>
          </w:p>
        </w:tc>
        <w:tc>
          <w:tcPr>
            <w:tcW w:type="dxa" w:w="396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an explicit check that header.alg === 'RS256' before the verify call. PARKED — small follow-up hardening.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5.3 Remediation Status — This Session</w:t>
      </w:r>
    </w:p>
    <w:p>
      <w:pPr>
        <w:spacing w:after="120" w:before="0" w:line="264"/>
      </w:pPr>
      <w:r>
        <w:rPr>
          <w:sz w:val="22"/>
          <w:szCs w:val="22"/>
        </w:rPr>
        <w:t xml:space="preserve">Fixed in code (api/src) on 18 June 2026, syntax-verified and unit-tested (npm test — 28/28 existing tests still pass; new logic is DB-dependent and will need a DB-gated integration test once a test database is available, following the existing leadService.tenant.integration.test.js pattern):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800"/>
        <w:gridCol w:w="1826"/>
      </w:tblGrid>
      <w:tr>
        <w:trPr>
          <w:tblHeader/>
        </w:trPr>
        <w:tc>
          <w:tcPr>
            <w:tcW w:type="dxa" w:w="1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Finding</w:t>
            </w:r>
          </w:p>
        </w:tc>
        <w:tc>
          <w:tcPr>
            <w:tcW w:type="dxa" w:w="5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Change</w:t>
            </w:r>
          </w:p>
        </w:tc>
        <w:tc>
          <w:tcPr>
            <w:tcW w:type="dxa" w:w="18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File(s)</w:t>
            </w:r>
          </w:p>
        </w:tc>
      </w:tr>
      <w:tr>
        <w:tc>
          <w:tcPr>
            <w:tcW w:type="dxa" w:w="1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A1 / A2</w:t>
            </w:r>
          </w:p>
        </w:tc>
        <w:tc>
          <w:tcPr>
            <w:tcW w:type="dxa" w:w="5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 scoping added to listLeads, getLeadById, assignLead, logCallAttempt; assignLead now validates the target agent (real, active, Agent role, org-scoped, and — for Supervisors — a direct report).</w:t>
            </w:r>
          </w:p>
        </w:tc>
        <w:tc>
          <w:tcPr>
            <w:tcW w:type="dxa" w:w="18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services/leadService.js, functions/leads.js</w:t>
            </w:r>
          </w:p>
        </w:tc>
      </w:tr>
      <w:tr>
        <w:tc>
          <w:tcPr>
            <w:tcW w:type="dxa" w:w="1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A3</w:t>
            </w:r>
          </w:p>
        </w:tc>
        <w:tc>
          <w:tcPr>
            <w:tcW w:type="dxa" w:w="5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validateToken now cross-checks User.isActive (entraObjectId match, 5-minute cache) and rejects deactivated users with 403; a DB-unreachable failure returns 503, kept distinct from an intentional deactivation.</w:t>
            </w:r>
          </w:p>
        </w:tc>
        <w:tc>
          <w:tcPr>
            <w:tcW w:type="dxa" w:w="18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middleware/auth.js</w:t>
            </w:r>
          </w:p>
        </w:tc>
      </w:tr>
      <w:tr>
        <w:tc>
          <w:tcPr>
            <w:tcW w:type="dxa" w:w="1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A4</w:t>
            </w:r>
          </w:p>
        </w:tc>
        <w:tc>
          <w:tcPr>
            <w:tcW w:type="dxa" w:w="5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auditService.js (writeAuditLog, append-only, matches the existing AuditLog grant). Wired into createLead (LeadCreated), assignLead (LeadAssigned / LeadReassigned with previous and new agent), and deleteLead (LeadDeleted).</w:t>
            </w:r>
          </w:p>
        </w:tc>
        <w:tc>
          <w:tcPr>
            <w:tcW w:type="dxa" w:w="1826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services/auditService.js (new), functions/leads.js</w:t>
            </w:r>
          </w:p>
        </w:tc>
      </w:tr>
    </w:tbl>
    <w:p>
      <w:pPr>
        <w:spacing w:after="160"/>
      </w:pPr>
    </w:p>
    <w:p>
      <w:pPr>
        <w:spacing w:after="120" w:before="0" w:line="264"/>
      </w:pPr>
      <w:r>
        <w:rPr>
          <w:i/>
          <w:iCs/>
          <w:sz w:val="20"/>
          <w:szCs w:val="20"/>
        </w:rPr>
        <w:t xml:space="preserve">Known limitation carried forward: the audit write happens as a separate statement after the state-changing write, not in the same database transaction — db.js does not yet expose transactions. In the rare case of a process failure between the two statements, a state change could land without its audit row. Closing this fully needs transaction support added to db.js, tracked as a follow-up rather than addressed in this pass.</w:t>
      </w:r>
    </w:p>
    <w:p>
      <w:pPr>
        <w:spacing w:after="160"/>
      </w:pPr>
    </w:p>
    <w:p>
      <w:pPr>
        <w:spacing w:after="120" w:before="0" w:line="264"/>
      </w:pPr>
      <w:r>
        <w:rPr>
          <w:b/>
          <w:bCs/>
          <w:sz w:val="22"/>
          <w:szCs w:val="22"/>
        </w:rPr>
        <w:t xml:space="preserve">Logged for the deployment phase, not yet implemented: A5, A6, E1, E2, E3, E5. E4 is a decision to make with whoever owns POPIA sign-off, not a code change.</w:t>
      </w:r>
    </w:p>
    <w:p>
      <w:pPr>
        <w:spacing w:after="160"/>
      </w:pPr>
    </w:p>
    <w:p>
      <w:pPr>
        <w:pStyle w:val="Heading2"/>
      </w:pPr>
      <w:r>
        <w:t xml:space="preserve">5.4 Documentation Note</w:t>
      </w:r>
    </w:p>
    <w:p>
      <w:pPr>
        <w:spacing w:after="120" w:before="0" w:line="264"/>
      </w:pPr>
      <w:r>
        <w:rPr>
          <w:sz w:val="22"/>
          <w:szCs w:val="22"/>
        </w:rPr>
        <w:t xml:space="preserve">This file did not previously exist as a real .docx in the GitHub repository at docs/security/ — only as project-knowledge content in the Claude project, despite Status.md and Project_Context.md both citing that repo path. This version is a properly packaged .docx; committing it to docs/security/MedBroker_Security_Code_Review_Findings.docx closes that gap and makes the repo canonical for this record going forward, consistent with the project's stated source-of-truth principle.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513"/>
        <w:tab w:val="right" w:pos="9026"/>
      </w:tabs>
    </w:pPr>
    <w:r>
      <w:rPr>
        <w:color w:val="808080"/>
        <w:sz w:val="16"/>
        <w:szCs w:val="16"/>
      </w:rPr>
      <w:t xml:space="preserve">MedBroker — Security &amp; Code Review Findings</w:t>
    </w:r>
    <w:r>
      <w:rPr>
        <w:color w:val="808080"/>
        <w:sz w:val="16"/>
        <w:szCs w:val="16"/>
      </w:rPr>
      <w:t xml:space="preserve">	v1.1 — Living document	</w:t>
    </w: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2E2E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2026-06-18T12:24:41.050Z</dcterms:created>
  <dcterms:modified xsi:type="dcterms:W3CDTF">2026-06-18T12:24:41.050Z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