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2340"/>
          <w:sz w:val="56"/>
          <w:szCs w:val="56"/>
        </w:rPr>
        <w:t xml:space="preserve">MedBroker</w:t>
      </w:r>
    </w:p>
    <w:p>
      <w:pPr>
        <w:spacing w:after="40"/>
      </w:pPr>
      <w:r>
        <w:rPr>
          <w:b/>
          <w:bCs/>
          <w:color w:val="1A7FCF"/>
          <w:sz w:val="36"/>
          <w:szCs w:val="36"/>
        </w:rPr>
        <w:t xml:space="preserve">Security &amp; Code Review — Findings</w:t>
      </w:r>
    </w:p>
    <w:p>
      <w:pPr>
        <w:spacing w:after="400"/>
      </w:pPr>
      <w:r>
        <w:rPr>
          <w:i/>
          <w:iCs/>
          <w:color w:val="6B7280"/>
        </w:rPr>
        <w:t xml:space="preserve">Project record — combined code review, mandatory control checklist, encryption/access-control addendum, and Vercel-scope sweep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rPr>
          <w:tblHeader/>
        </w:trPr>
        <w:tc>
          <w:tcPr>
            <w:tcW w:type="dxa" w:w="22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MedBroker_Security_Code_Review_Findings.docx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Living document — updated each review session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Solution Architecture (Mark du Toit, with Claude)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First issued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June 2026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August 2026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Scope as of this version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+ Neon Postgres deployment only (frontend/api/, frontend/api-lib/). The frozen Azure Functions/Azure SQL codebase (api/src/, infra/) is out of scope — see Section 6.1.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Summary &amp; Method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report records a combined security and code review of MedBroker, covering accuracy, robustness, anti-patterns, and a mandatory eight-area control checklist. The original pass (10 June 2026) superseded an earlier code-led review that surfaced code-level issues well but under-weighted controls living outside the application code (edge/WAF, transport, logging policy, cloud posture, third-party agreements). Section 5 (18 June 2026) added a second, deeper pass focused specifically on encryption and access control, including code-level fixes implemented in the same session.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Sections 2–5 below cover the original Azure Functions / Azure SQL build. That build is frozen and out of scope for this project going forward (Project_Context_Vercel.md, 30 Jul 2026) — the live codebase since 21 July 2026 is Vercel + Neon Postgres. Sections 2–5 are retained as the historical record and are marked accordingly; do not treat their status columns as current. Section 6 (new, 20 August 2026) is the current-scope sweep — read that section for the live security posture.</w:t>
      </w:r>
    </w:p>
    <w:p>
      <w:pPr>
        <w:pStyle w:val="Heading1"/>
        <w:spacing w:after="200" w:before="400"/>
      </w:pPr>
      <w:r>
        <w:t xml:space="preserve">2. Code Review Findings (10 June 2026) — HISTORICAL, AZURE-ERA</w:t>
      </w:r>
    </w:p>
    <w:p>
      <w:pPr>
        <w:pBdr>
          <w:left w:val="single" w:color="CCCCCC" w:sz="12" w:space="8"/>
        </w:pBdr>
        <w:shd w:fill="F5F5F5" w:val="clear"/>
        <w:spacing w:after="240" w:before="120"/>
      </w:pPr>
      <w:r>
        <w:rPr>
          <w:i/>
          <w:iCs/>
          <w:color w:val="6B7280"/>
          <w:sz w:val="20"/>
          <w:szCs w:val="20"/>
        </w:rPr>
        <w:t xml:space="preserve">Superseded by the Vercel/Neon migration (21 Jul 2026). Retained for the record only — none of the infrastructure referenced below (Bicep, Azure Key Vault, Managed Identity, Azure SQL) exists in the live deployment.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5600"/>
        <w:gridCol w:w="2500"/>
      </w:tblGrid>
      <w:tr>
        <w:trPr>
          <w:tblHeader/>
        </w:trPr>
        <w:tc>
          <w:tcPr>
            <w:tcW w:type="dxa" w:w="9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6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5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 / Status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encryption.js imported @azure/keyvault-keys but package.json declared @azure/keyvault-secrets — encrypt/decrypt would crash at runtime.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(historical) — superseded by the Vercel port of encryption.js, which uses AWS KMS, not Key Vault.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autoReturnLeads.js was a non-functional stub that interpolated values directly into SQL.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— function does not exist in the Vercel codebase.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 SQL admin password placeholder committed in IaC (infra/main.bicep).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(historical) — infra/ is frozen and out of scope; Neon connection uses DATABASE_URL, no Bicep involved.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C4–C8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 token refresh, data-tier network isolation, storage account key exposure, observability wiring, backup redundancy — all Azure-infrastructure findings.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— infra/ out of scope. Not re-assessed for Vercel; Vercel-equivalent controls are covered fresh in Section 6.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C9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CORS allowlist included localhost in all environments.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(historical) — Vercel’s CORS approach is origin-reflection without credentials, a different design; see Section 6.3, F4.</w:t>
            </w:r>
          </w:p>
        </w:tc>
      </w:tr>
    </w:tbl>
    <w:p>
      <w:pPr>
        <w:pStyle w:val="Heading1"/>
        <w:spacing w:after="200" w:before="400"/>
      </w:pPr>
      <w:r>
        <w:t xml:space="preserve">3. Mandatory Control Checklist — Eight Areas (10 June 2026) — HISTORICAL</w:t>
      </w:r>
    </w:p>
    <w:p>
      <w:pPr>
        <w:pBdr>
          <w:left w:val="single" w:color="CCCCCC" w:sz="12" w:space="8"/>
        </w:pBdr>
        <w:shd w:fill="F5F5F5" w:val="clear"/>
        <w:spacing w:after="240" w:before="120"/>
      </w:pPr>
      <w:r>
        <w:rPr>
          <w:i/>
          <w:iCs/>
          <w:color w:val="6B7280"/>
          <w:sz w:val="20"/>
          <w:szCs w:val="20"/>
        </w:rPr>
        <w:t xml:space="preserve">Azure-scoped snapshot. See Section 6.2 for the current Vercel-scope checklist using the same eight areas.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Full row-level detail from the original review is preserved in the version history of this document; condensed here to area-level outcomes to keep this version focused on the live (Vercel) posture in Section 6.</w:t>
      </w:r>
    </w:p>
    <w:p>
      <w:pPr>
        <w:pStyle w:val="Heading2"/>
        <w:spacing w:after="160" w:before="280"/>
      </w:pPr>
      <w:r>
        <w:t xml:space="preserve">3.1 Identity &amp; access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Mostly Pass — JWT handling, server-side role checks, and token lifecycle sound. IDOR/Supervisor scoping was Partial, closed 18 Jun (Section 5).</w:t>
      </w:r>
    </w:p>
    <w:p>
      <w:pPr>
        <w:pStyle w:val="Heading2"/>
        <w:spacing w:after="160" w:before="280"/>
      </w:pPr>
      <w:r>
        <w:t xml:space="preserve">3.2 Input &amp; data handling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Pass overall — parameterised SQL, Zod validation, AEAD encryption. One known stub (autoReturnLeads.js) with a real injection anti-pattern, not shipped.</w:t>
      </w:r>
    </w:p>
    <w:p>
      <w:pPr>
        <w:pStyle w:val="Heading2"/>
        <w:spacing w:after="160" w:before="280"/>
      </w:pPr>
      <w:r>
        <w:t xml:space="preserve">3.3 Edge &amp; transport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Gap — no WAF provisioned at the time (Cloudflare Pro recommended); HSTS and browser security headers missing.</w:t>
      </w:r>
    </w:p>
    <w:p>
      <w:pPr>
        <w:pStyle w:val="Heading2"/>
        <w:spacing w:after="160" w:before="280"/>
      </w:pPr>
      <w:r>
        <w:t xml:space="preserve">3.4 Abuse &amp; exfiltration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Gap — no rate limiting implemented; bulk-export limits not yet designed (Reports API not yet built at the time).</w:t>
      </w:r>
    </w:p>
    <w:p>
      <w:pPr>
        <w:pStyle w:val="Heading2"/>
        <w:spacing w:after="160" w:before="280"/>
      </w:pPr>
      <w:r>
        <w:t xml:space="preserve">3.5 Logging &amp; audit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Partial — AuditLog table existed but Leads paths did not write to it; closed 18 Jun for create/assign/delete (Section 5).</w:t>
      </w:r>
    </w:p>
    <w:p>
      <w:pPr>
        <w:pStyle w:val="Heading2"/>
        <w:spacing w:after="160" w:before="280"/>
      </w:pPr>
      <w:r>
        <w:t xml:space="preserve">3.6 Cloud posture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Partial — Key Vault/SQL admin secured; network isolation and geo-redundant backup were Gap (Azure-infra specific, N/A post-migration).</w:t>
      </w:r>
    </w:p>
    <w:p>
      <w:pPr>
        <w:pStyle w:val="Heading2"/>
        <w:spacing w:after="160" w:before="280"/>
      </w:pPr>
      <w:r>
        <w:t xml:space="preserve">3.7 Supply chain &amp; assurance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Gap — no CI, no dependency/secret scanning, no SAST/DAST, no penetration test booked.</w:t>
      </w:r>
    </w:p>
    <w:p>
      <w:pPr>
        <w:pStyle w:val="Heading2"/>
        <w:spacing w:after="160" w:before="280"/>
      </w:pPr>
      <w:r>
        <w:t xml:space="preserve">3.8 POPIA &amp; third parties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Mixed — consent capture and data residency (southafricanorth) Pass; cross-border transfer for Zoho/Calendly/Cloudflare, operator agreements, breach process, and SAR/erasure paths all Gap or Partial.</w:t>
      </w:r>
    </w:p>
    <w:p>
      <w:pPr>
        <w:pStyle w:val="Heading1"/>
        <w:spacing w:after="200" w:before="400"/>
      </w:pPr>
      <w:r>
        <w:t xml:space="preserve">4. Prioritised Remediation Plan (10 June 2026) — HISTORICAL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Azure-scoped remediation sequencing from the original review. Not re-stated in full — see Section 6.4 for the current, Vercel-scope backlog, which supersedes this list.</w:t>
      </w:r>
    </w:p>
    <w:p>
      <w:pPr>
        <w:pStyle w:val="Heading1"/>
        <w:spacing w:after="200" w:before="400"/>
      </w:pPr>
      <w:r>
        <w:t xml:space="preserve">5. Encryption &amp; Access Control Review — Addendum (18 June 2026) — HISTORICAL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follow-up review targeting data encryption and access control specifically, prompted by a general concern about breach exposure and data theft. Findings A1–A6 (access control) were Azure/Entra-specific and are not restated — the Vercel build’s access-control model (bcrypt + JWT + httpOnly cookie, Entra SSO as an alternate path) was reviewed fresh in Section 6. One finding from this addendum remains directly relevant and is carried forward verbatim below.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5600"/>
        <w:gridCol w:w="2500"/>
      </w:tblGrid>
      <w:tr>
        <w:trPr>
          <w:tblHeader/>
        </w:trPr>
        <w:tc>
          <w:tcPr>
            <w:tcW w:type="dxa" w:w="9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6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5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 / Status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Informational → OPEN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Field-level encryption is scoped to idNumber only. medicalAid / medicalAidProvider and other health-adjacent fields rely on platform-level (disk-at-rest) encryption and access control alone, not field-level encryption.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OPEN as of 20 Aug 2026 — confirmed unchanged against the live Vercel codebase. See Section 6.3, F1, for the current assessment and recommendation.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Vercel-Scope Security Sweep (20 August 2026)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Requested by Mark ahead of the client parking this project until February 2027 — a fresh sweep against the live codebase, not an update to the Azure-era findings above. Performed against a clean GitHub hydration (codeload tarball, 20 Aug 2026); every finding below was verified by reading the actual live code, not inferred from Status_Vercel.md or Project_Context_Vercel.md’s own prior notes.</w:t>
      </w:r>
    </w:p>
    <w:p>
      <w:pPr>
        <w:pStyle w:val="Heading2"/>
        <w:spacing w:after="160" w:before="280"/>
      </w:pPr>
      <w:r>
        <w:t xml:space="preserve">6.1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frontend/api/ and frontend/api-lib/ (the Vercel Functions + service layer) and frontend/src/ (the React app), against Neon Postgres. The Azure Functions/Azure SQL codebase (api/src/, infra/) is frozen and explicitly out of scope, per Project_Context_Vercel.md.</w:t>
      </w:r>
    </w:p>
    <w:p>
      <w:pPr>
        <w:pStyle w:val="Heading2"/>
        <w:spacing w:after="160" w:before="280"/>
      </w:pPr>
      <w:r>
        <w:t xml:space="preserve">6.2 Current Control Checklist (same eight areas as Section 3)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500"/>
      </w:tblGrid>
      <w:tr>
        <w:trPr>
          <w:tblHeader/>
        </w:trPr>
        <w:tc>
          <w:tcPr>
            <w:tcW w:type="dxa" w:w="32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6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/ Note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signature / expiry / role claims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authService.js — bcrypt (12 rounds) for local passwords; HMAC-signed JWT, 8-hour expiry; jose-based Entra SSO with remote JWKS verification, separate code path.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role checks (requireRole)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 consistently across every domain checked (Leads, Appointments, SAR, Users, Data Export). GlobalAdmin-missing-from-allow-list is a tracked recurring-bug pattern (Project_Context_Vercel.md), not an open finding — process control, not a code gap.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IDOR / object-level authorisation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Agent/Broker: own-only; Supervisor: self + direct reports; Admin/GlobalAdmin: unrestricted — enforced server-side across Leads/Appointments/Tasks.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 lifecycle (revocation on password change)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sessionsRevokedAt timestamp checked per-request; password change revokes and reissues; Admin can force-logout a user without deactivating the account.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Parameterised SQL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service file reviewed uses executeQuery/executeQueryOne with bound parameters; no string-interpolated SQL found in the reviewed surface.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cookie / CORS design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httpOnly, SameSite=Strict, Secure session cookie; CORS reflects Origin without Access-Control-Allow-Credentials — verified this is a deliberate, documented, and sound pairing (see F4 below), not an oversight.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Field-level encryption (idNumber)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AES-256-GCM envelope, random per-value data key, KMS- or DEMO_ENCRYPTION_KEY-wrapped, format-versioned. Cryptographic design is sound.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Field-level encryption (other PII/special PI)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Open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F1 — scoped to idNumber only. See 6.3.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transport (TLS cert verification)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as a side effect of the neon() HTTP driver migration (12 Aug 2026) — standard HTTPS via fetch(), certificate validated by default, no override present.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 security headers (CSP/HSTS/etc.)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Open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F3 — vercel.json sets only Cache-Control on /assets.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limiting (authenticated + public endpoints)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Open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F5 — deferred to Vercel Pro WAF Custom Rules by design; not yet configured against a real Vercel account.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trail of state changes / special-PI access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writeAuditLog() called from every state-changing route across Leads, Appointments, Users, Tasks, SAR — an enforced convention (“the A4 gate”).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 PI never written to application logs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Open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specifically audited against Vercel’s own function logs — carried forward unchanged from Project_Context_Vercel.md.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Right to erasure (POPIA s14(5)/s24(1)(b))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Open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F2 — deleteLead() is soft-delete only. Highest-priority open item in this sweep.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POPIA Subject Access Request (right of access)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Fully built — sarService.js/sarHandlers.js. See F6 (this was previously logged as not built; corrected).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Dependency scanning / CI / SAST-DAST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Open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CI configured. Manual npm audit review has been the practice (react-router, xlsx CVEs closed and confirmed this way — see Status_Vercel.md).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Operator agreements, cross-border transfer, breach process, Information Officer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Open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Unchanged since the last review — see Project_Context_Vercel.md §12/§12a.</w:t>
            </w:r>
          </w:p>
        </w:tc>
      </w:tr>
    </w:tbl>
    <w:p>
      <w:pPr>
        <w:pStyle w:val="Heading2"/>
        <w:spacing w:after="160" w:before="280"/>
      </w:pPr>
      <w:r>
        <w:t xml:space="preserve">6.3 New and Carried-Forward Findings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5600"/>
        <w:gridCol w:w="2500"/>
      </w:tblGrid>
      <w:tr>
        <w:trPr>
          <w:tblHeader/>
        </w:trPr>
        <w:tc>
          <w:tcPr>
            <w:tcW w:type="dxa" w:w="9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6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500"/>
            <w:shd w:fill="1A234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 / Status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Carried forward from E4 (18 Jun 2026), confirmed unchanged. Field-level encryption scoped to idNumber only. dateOfBirth, medicalAid/medicalAidProvider/existingCover/currentInsurer/policies, email/mobile/whatsapp, hospitalOrPractice, occupation, university/degree all sit in application-layer plaintext, relying on Neon’s platform-level disk encryption and access control alone.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 field-level encryption to the health/insurance fields at minimum (medicalAid, medicalAidProvider, existingCover, currentInsurer, policies) — closest to POPIA s26 special personal information. Mark’s decision to make explicitly. Full detail: Project_Context_Vercel.md §12a, Gap 2.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deleteLead() (leadService.js) is a soft-delete only — sets Lead.deletedAt, removes incomplete Tasks. idNumberEncrypted, idNumberHash, and every other PII/special-PI column remain fully intact and, for idNumber, still decryptable. Does not satisfy POPIA s14(5) (destruction “in a manner that prevents its reconstruction in an intelligible form”).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a true-erasure path and a restrict-and-retain path (FAIS’s 5-year record-keeping obligation is a lawful retention basis under s14(6)). Full detail and backlog: Project_Context_Vercel.md §12a, Gap 1; Status_Vercel.md Outstanding item 0a.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F3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vercel.json sets no CSP, HSTS, X-Content-Type-Options, Referrer-Policy, or Permissions-Policy — only Cache-Control on /assets. No defence-in-depth against XSS beyond React’s default JSX escaping.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headers block to vercel.json. Suggested starting point: Content-Security-Policy (default-src ’self’, tightened per actual script/style/font/connect sources in use), Strict-Transport-Security (max-age=31536000; includeSubDomains), X-Content-Type-Options: nosniff, Referrer-Policy: strict-origin-when-cross-origin, Permissions-Policy disabling unused browser features (camera, microphone, geolocation).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F4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Pass — verified sound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CORS reflects the request Origin (including “null”) rather than a hardcoded allowlist, which looks permissive on first read. Verified this is safe as implemented: the session cookies are SameSite=Strict (never attached to a cross-site request regardless of CORS) and Access-Control-Allow-Credentials is never set (so even a browser willing to send credentials couldn’t read the response cross-origin). Confirmed by reading applyCors() (http/helpers.js) directly, including its own test-derived reasoning (Playwright).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action. Documented here so this isn’t re-flagged as a false positive in a future review without the context re-derived each time. If either the SameSite setting or the no-credentials rule ever changes, this design needs re-examining — noted in the code comment already.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F5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limiting is deferred to Vercel’s Pro-plan WAF (Custom Rules), a deliberate decision recorded in Project_Context_Vercel.md §12 (3 Aug 2026) rather than a custom Postgres-backed limiter. Confirmed this is NOT automatic on Pro — someone must actually configure a Custom Rule against the customer’s real Vercel account.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Standing action item, unchanged — configure before go-live. Prioritise public unauthenticated endpoints (staff/portal login, portal register/activate/walk-in) per Project_Context_Vercel.md §100 for suggested thresholds.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F6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Correction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Project_Context_Vercel.md previously logged the POPIA SAR endpoint as “flag exists, admin endpoint not built.” Confirmed live this session by reading sarService.js/sarHandlers.js/models/sar.js directly: fully built, including request tracking, assignment, comment thread, and compileSubjectData() (full data export).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action — documentation correction only, applied to Project_Context_Vercel.md §12 this session. Scope note: this covers the right of ACCESS only, not erasure — see F2.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F7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security.kmsEncryption.enabled defaults to off. Until a client production deployment explicitly enables it and configures AWS KMS, idNumber is protected by DEMO_ENCRYPTION_KEY — a Vercel environment variable with no rotation, no access log, and no revocation path.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 the flag and configure AWS KMS (KMS_MASTER_KEY_ID, AWS_REGION, IAM credential scoped to kms:Encrypt/Decrypt/GenerateDataKey on one key) before real client PI flows through a production deployment. Already tracked in Project_Context_Vercel.md §12; restated here for completeness.</w:t>
            </w:r>
          </w:p>
        </w:tc>
      </w:tr>
    </w:tbl>
    <w:p>
      <w:pPr>
        <w:pStyle w:val="Heading2"/>
        <w:spacing w:after="160" w:before="280"/>
      </w:pPr>
      <w:r>
        <w:t xml:space="preserve">6.4 Prioritised Remediation Plan (supersedes Section 4)</w:t>
      </w:r>
    </w:p>
    <w:p>
      <w:pPr>
        <w:pStyle w:val="Heading2"/>
        <w:spacing w:after="160" w:before="280"/>
      </w:pPr>
      <w:r>
        <w:t xml:space="preserve">Before client PI flows through a production deployment (go-live gate)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F2 — Lead erasure/anonymisation capability (highest priority; a live POPIA obligation, not a hygiene item)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F7 — enable KMS encryption and configure AWS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F3 — vercel.json security headers (low effort, do early)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F5 — configure the Vercel Pro WAF rate-limiting Custom Rule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Operator agreements, cross-border transfer assessment, breach process, Information Officer registration (Project_Context_Vercel.md §12/§12a)</w:t>
      </w:r>
    </w:p>
    <w:p>
      <w:pPr>
        <w:pStyle w:val="Heading2"/>
        <w:spacing w:after="160" w:before="280"/>
      </w:pPr>
      <w:r>
        <w:t xml:space="preserve">Mark’s decision, not urgent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F1 — field-level encryption scope beyond idNumber</w:t>
      </w:r>
    </w:p>
    <w:p>
      <w:pPr>
        <w:pStyle w:val="Heading2"/>
        <w:spacing w:after="160" w:before="280"/>
      </w:pPr>
      <w:r>
        <w:t xml:space="preserve">Documentation / no code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F6 — already corrected this session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F4 — already verified sound this session, no action</w:t>
      </w:r>
    </w:p>
    <w:p>
      <w:pPr>
        <w:pStyle w:val="Heading2"/>
        <w:spacing w:after="160" w:before="280"/>
      </w:pPr>
      <w:r>
        <w:t xml:space="preserve">6.5 Documentation Note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version of this file previously on GitHub (docs/security/MedBroker_Security_Code_Review_Findings.docx) was plain UTF-8 text saved with a .docx extension, not a real OOXML package — despite Section 5.4 of that content (retained above, in Section 5) claiming it had already been corrected to a proper .docx on 18 June 2026. That claim did not hold; flagged plainly rather than silently carried forward. This version is a genuine .docx, built with docx-js and rendered/visually checked before delivery.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FCF" w:sz="6" w:space="4"/>
      </w:pBdr>
      <w:spacing w:after="200" w:before="360"/>
    </w:pPr>
    <w:rPr>
      <w:rFonts w:ascii="Calibri" w:cs="Calibri" w:eastAsia="Calibri" w:hAnsi="Calibri"/>
      <w:b/>
      <w:bCs/>
      <w:color w:val="1A23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A7FC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2026-08-20T06:56:25.413Z</dcterms:created>
  <dcterms:modified xsi:type="dcterms:W3CDTF">2026-08-20T06:56:25.427Z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