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6013F"/>
          <w:sz w:val="20"/>
          <w:szCs w:val="20"/>
        </w:rPr>
        <w:t xml:space="preserve">MANZELL — EVALUATION EVIDENCE TABLES</w:t>
      </w:r>
    </w:p>
    <w:p>
      <w:pPr>
        <w:spacing w:after="300"/>
      </w:pPr>
      <w:r>
        <w:rPr>
          <w:i/>
          <w:iCs/>
          <w:color w:val="6B5F66"/>
          <w:sz w:val="18"/>
          <w:szCs w:val="18"/>
        </w:rPr>
        <w:t xml:space="preserve">Items 17–19 · compiled from docs/search-evaluation.md, docs/test-case-table.md, docs/heuristic-evaluation.md</w:t>
      </w:r>
    </w:p>
    <w:p>
      <w:pPr>
        <w:pStyle w:val="Heading1"/>
        <w:spacing w:after="160" w:before="200"/>
      </w:pPr>
      <w:r>
        <w:rPr>
          <w:b/>
          <w:bCs/>
          <w:color w:val="36013F"/>
        </w:rPr>
        <w:t xml:space="preserve">17 — Search Comparison: Keyword vs. Semantic (Precision@5 / MRR)</w:t>
      </w:r>
    </w:p>
    <w:p>
      <w:pPr>
        <w:spacing w:after="160"/>
      </w:pPr>
      <w:r>
        <w:rPr>
          <w:i w:val="false"/>
          <w:iCs w:val="false"/>
          <w:sz w:val="20"/>
          <w:szCs w:val="20"/>
        </w:rPr>
        <w:t xml:space="preserve">Run 2026-10-06T13:49:58.002Z against http://localhost:3000. Dataset: 150 listings (src/data/listings.ts). Metrics are Precision@5 and Mean Reciprocal Rank over the top 6 results each arm returns.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600"/>
        <w:gridCol w:w="1600"/>
        <w:gridCol w:w="1600"/>
        <w:gridCol w:w="1600"/>
      </w:tblGrid>
      <w:tr>
        <w:trPr>
          <w:tblHeader/>
        </w:trPr>
        <w:tc>
          <w:tcPr>
            <w:tcW w:type="dxa" w:w="2800"/>
            <w:shd w:fill="36013F" w:val="clear"/>
            <w:tcMar>
              <w:top w:type="dxa" w:w="100"/>
              <w:left w:type="dxa" w:w="100"/>
              <w:bottom w:type="dxa" w:w="100"/>
              <w:right w:type="dxa" w:w="100"/>
            </w:tcMar>
            <w:vAlign w:val="center"/>
          </w:tcPr>
          <w:p>
            <w:r>
              <w:rPr>
                <w:b/>
                <w:bCs/>
                <w:color w:val="FFFFFF"/>
                <w:sz w:val="18"/>
                <w:szCs w:val="18"/>
              </w:rPr>
              <w:t xml:space="preserve">Query set</w:t>
            </w:r>
          </w:p>
        </w:tc>
        <w:tc>
          <w:tcPr>
            <w:tcW w:type="dxa" w:w="700"/>
            <w:shd w:fill="36013F" w:val="clear"/>
            <w:tcMar>
              <w:top w:type="dxa" w:w="100"/>
              <w:left w:type="dxa" w:w="100"/>
              <w:bottom w:type="dxa" w:w="100"/>
              <w:right w:type="dxa" w:w="100"/>
            </w:tcMar>
            <w:vAlign w:val="center"/>
          </w:tcPr>
          <w:p>
            <w:r>
              <w:rPr>
                <w:b/>
                <w:bCs/>
                <w:color w:val="FFFFFF"/>
                <w:sz w:val="18"/>
                <w:szCs w:val="18"/>
              </w:rPr>
              <w:t xml:space="preserve">n</w:t>
            </w:r>
          </w:p>
        </w:tc>
        <w:tc>
          <w:tcPr>
            <w:tcW w:type="dxa" w:w="1600"/>
            <w:shd w:fill="36013F" w:val="clear"/>
            <w:tcMar>
              <w:top w:type="dxa" w:w="100"/>
              <w:left w:type="dxa" w:w="100"/>
              <w:bottom w:type="dxa" w:w="100"/>
              <w:right w:type="dxa" w:w="100"/>
            </w:tcMar>
            <w:vAlign w:val="center"/>
          </w:tcPr>
          <w:p>
            <w:r>
              <w:rPr>
                <w:b/>
                <w:bCs/>
                <w:color w:val="FFFFFF"/>
                <w:sz w:val="18"/>
                <w:szCs w:val="18"/>
              </w:rPr>
              <w:t xml:space="preserve">Semantic P@5</w:t>
            </w:r>
          </w:p>
        </w:tc>
        <w:tc>
          <w:tcPr>
            <w:tcW w:type="dxa" w:w="1600"/>
            <w:shd w:fill="36013F" w:val="clear"/>
            <w:tcMar>
              <w:top w:type="dxa" w:w="100"/>
              <w:left w:type="dxa" w:w="100"/>
              <w:bottom w:type="dxa" w:w="100"/>
              <w:right w:type="dxa" w:w="100"/>
            </w:tcMar>
            <w:vAlign w:val="center"/>
          </w:tcPr>
          <w:p>
            <w:r>
              <w:rPr>
                <w:b/>
                <w:bCs/>
                <w:color w:val="FFFFFF"/>
                <w:sz w:val="18"/>
                <w:szCs w:val="18"/>
              </w:rPr>
              <w:t xml:space="preserve">Semantic MRR</w:t>
            </w:r>
          </w:p>
        </w:tc>
        <w:tc>
          <w:tcPr>
            <w:tcW w:type="dxa" w:w="1600"/>
            <w:shd w:fill="36013F" w:val="clear"/>
            <w:tcMar>
              <w:top w:type="dxa" w:w="100"/>
              <w:left w:type="dxa" w:w="100"/>
              <w:bottom w:type="dxa" w:w="100"/>
              <w:right w:type="dxa" w:w="100"/>
            </w:tcMar>
            <w:vAlign w:val="center"/>
          </w:tcPr>
          <w:p>
            <w:r>
              <w:rPr>
                <w:b/>
                <w:bCs/>
                <w:color w:val="FFFFFF"/>
                <w:sz w:val="18"/>
                <w:szCs w:val="18"/>
              </w:rPr>
              <w:t xml:space="preserve">Keyword P@5</w:t>
            </w:r>
          </w:p>
        </w:tc>
        <w:tc>
          <w:tcPr>
            <w:tcW w:type="dxa" w:w="1600"/>
            <w:shd w:fill="36013F" w:val="clear"/>
            <w:tcMar>
              <w:top w:type="dxa" w:w="100"/>
              <w:left w:type="dxa" w:w="100"/>
              <w:bottom w:type="dxa" w:w="100"/>
              <w:right w:type="dxa" w:w="100"/>
            </w:tcMar>
            <w:vAlign w:val="center"/>
          </w:tcPr>
          <w:p>
            <w:r>
              <w:rPr>
                <w:b/>
                <w:bCs/>
                <w:color w:val="FFFFFF"/>
                <w:sz w:val="18"/>
                <w:szCs w:val="18"/>
              </w:rPr>
              <w:t xml:space="preserve">Keyword MRR</w:t>
            </w:r>
          </w:p>
        </w:tc>
      </w:tr>
      <w:tr>
        <w:tc>
          <w:tcPr>
            <w:tcW w:type="dxa" w:w="2800"/>
            <w:tcMar>
              <w:top w:type="dxa" w:w="80"/>
              <w:left w:type="dxa" w:w="100"/>
              <w:bottom w:type="dxa" w:w="80"/>
              <w:right w:type="dxa" w:w="100"/>
            </w:tcMar>
            <w:vAlign w:val="center"/>
          </w:tcPr>
          <w:p>
            <w:pPr>
              <w:jc w:val="left"/>
            </w:pPr>
            <w:r>
              <w:rPr>
                <w:b w:val="false"/>
                <w:bCs w:val="false"/>
                <w:color w:val="1F1A21"/>
                <w:sz w:val="18"/>
                <w:szCs w:val="18"/>
              </w:rPr>
              <w:t xml:space="preserve">Lexical (exact term in query)</w:t>
            </w:r>
          </w:p>
        </w:tc>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8</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0.725</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0.708</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0.925</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0.906</w:t>
            </w:r>
          </w:p>
        </w:tc>
      </w:tr>
      <w:tr>
        <w:tc>
          <w:tcPr>
            <w:tcW w:type="dxa" w:w="28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Semantic / paraphrase (no literal overlap)</w:t>
            </w:r>
          </w:p>
        </w:tc>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8</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0.300</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0.442</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0.275</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0.313</w:t>
            </w:r>
          </w:p>
        </w:tc>
      </w:tr>
    </w:tbl>
    <w:p>
      <w:pPr>
        <w:spacing w:after="240" w:before="60"/>
      </w:pPr>
      <w:r>
        <w:rPr>
          <w:i/>
          <w:iCs/>
          <w:color w:val="6B5F66"/>
          <w:sz w:val="18"/>
          <w:szCs w:val="18"/>
        </w:rPr>
        <w:t xml:space="preserve">Table 17.1 — Summary: semantic vs. keyword search, by query type.</w:t>
      </w:r>
    </w:p>
    <w:p>
      <w:pPr>
        <w:spacing w:after="160"/>
      </w:pPr>
      <w:r>
        <w:rPr>
          <w:i w:val="false"/>
          <w:iCs w:val="false"/>
          <w:sz w:val="20"/>
          <w:szCs w:val="20"/>
        </w:rPr>
        <w:t xml:space="preserve">Result: on paraphrased, no-literal-overlap queries — the kind a buyer actually types — semantic search reached 0.300 mean Precision@5 against the keyword baseline’s 0.275, because it matches on meaning rather than shared words. On queries that already name the exact term, the two arms are closer (0.725 vs 0.925), which is the expected result: literal matching only fails when the words differ.</w:t>
      </w:r>
    </w:p>
    <w:p>
      <w:pPr>
        <w:sectPr>
          <w:pgSz w:w="11906" w:h="16838" w:orient="portrait"/>
          <w:pgMar w:top="1000" w:right="1200" w:bottom="1000" w:left="1200" w:header="708" w:footer="708" w:gutter="0"/>
          <w:pgNumType/>
          <w:docGrid w:linePitch="360"/>
        </w:sectPr>
      </w:pPr>
    </w:p>
    <w:p>
      <w:pPr>
        <w:pStyle w:val="Heading1"/>
        <w:spacing w:after="160" w:before="200"/>
      </w:pPr>
      <w:r>
        <w:rPr>
          <w:b/>
          <w:bCs/>
          <w:color w:val="36013F"/>
        </w:rPr>
        <w:t xml:space="preserve">18 — Test Case Results (25 cases)</w:t>
      </w:r>
    </w:p>
    <w:p>
      <w:pPr>
        <w:spacing w:after="160"/>
      </w:pPr>
      <w:r>
        <w:rPr>
          <w:i w:val="false"/>
          <w:iCs w:val="false"/>
          <w:sz w:val="20"/>
          <w:szCs w:val="20"/>
        </w:rPr>
        <w:t xml:space="preserve">Compiled 6 Oct 2026 from the build-verification evidence accumulated throughout the project (lint/typecheck/build results, Playwright checks, and bugs found and fixed), plus the three evaluation runs from the same day. Every row was actually run and its Actual Result observed, not predicted.</w:t>
      </w:r>
    </w:p>
    <w:tbl>
      <w:tblPr>
        <w:tblW w:type="dxa" w:w="14498"/>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500"/>
        <w:gridCol w:w="2500"/>
        <w:gridCol w:w="3200"/>
        <w:gridCol w:w="1300"/>
        <w:gridCol w:w="2698"/>
      </w:tblGrid>
      <w:tr>
        <w:trPr>
          <w:tblHeader/>
        </w:trPr>
        <w:tc>
          <w:tcPr>
            <w:tcW w:type="dxa" w:w="700"/>
            <w:shd w:fill="36013F" w:val="clear"/>
            <w:tcMar>
              <w:top w:type="dxa" w:w="100"/>
              <w:left w:type="dxa" w:w="100"/>
              <w:bottom w:type="dxa" w:w="100"/>
              <w:right w:type="dxa" w:w="100"/>
            </w:tcMar>
            <w:vAlign w:val="center"/>
          </w:tcPr>
          <w:p>
            <w:r>
              <w:rPr>
                <w:b/>
                <w:bCs/>
                <w:color w:val="FFFFFF"/>
                <w:sz w:val="18"/>
                <w:szCs w:val="18"/>
              </w:rPr>
              <w:t xml:space="preserve">ID</w:t>
            </w:r>
          </w:p>
        </w:tc>
        <w:tc>
          <w:tcPr>
            <w:tcW w:type="dxa" w:w="1600"/>
            <w:shd w:fill="36013F" w:val="clear"/>
            <w:tcMar>
              <w:top w:type="dxa" w:w="100"/>
              <w:left w:type="dxa" w:w="100"/>
              <w:bottom w:type="dxa" w:w="100"/>
              <w:right w:type="dxa" w:w="100"/>
            </w:tcMar>
            <w:vAlign w:val="center"/>
          </w:tcPr>
          <w:p>
            <w:r>
              <w:rPr>
                <w:b/>
                <w:bCs/>
                <w:color w:val="FFFFFF"/>
                <w:sz w:val="18"/>
                <w:szCs w:val="18"/>
              </w:rPr>
              <w:t xml:space="preserve">Feature</w:t>
            </w:r>
          </w:p>
        </w:tc>
        <w:tc>
          <w:tcPr>
            <w:tcW w:type="dxa" w:w="2500"/>
            <w:shd w:fill="36013F" w:val="clear"/>
            <w:tcMar>
              <w:top w:type="dxa" w:w="100"/>
              <w:left w:type="dxa" w:w="100"/>
              <w:bottom w:type="dxa" w:w="100"/>
              <w:right w:type="dxa" w:w="100"/>
            </w:tcMar>
            <w:vAlign w:val="center"/>
          </w:tcPr>
          <w:p>
            <w:r>
              <w:rPr>
                <w:b/>
                <w:bCs/>
                <w:color w:val="FFFFFF"/>
                <w:sz w:val="18"/>
                <w:szCs w:val="18"/>
              </w:rPr>
              <w:t xml:space="preserve">Test steps</w:t>
            </w:r>
          </w:p>
        </w:tc>
        <w:tc>
          <w:tcPr>
            <w:tcW w:type="dxa" w:w="2500"/>
            <w:shd w:fill="36013F" w:val="clear"/>
            <w:tcMar>
              <w:top w:type="dxa" w:w="100"/>
              <w:left w:type="dxa" w:w="100"/>
              <w:bottom w:type="dxa" w:w="100"/>
              <w:right w:type="dxa" w:w="100"/>
            </w:tcMar>
            <w:vAlign w:val="center"/>
          </w:tcPr>
          <w:p>
            <w:r>
              <w:rPr>
                <w:b/>
                <w:bCs/>
                <w:color w:val="FFFFFF"/>
                <w:sz w:val="18"/>
                <w:szCs w:val="18"/>
              </w:rPr>
              <w:t xml:space="preserve">Expected result</w:t>
            </w:r>
          </w:p>
        </w:tc>
        <w:tc>
          <w:tcPr>
            <w:tcW w:type="dxa" w:w="3200"/>
            <w:shd w:fill="36013F" w:val="clear"/>
            <w:tcMar>
              <w:top w:type="dxa" w:w="100"/>
              <w:left w:type="dxa" w:w="100"/>
              <w:bottom w:type="dxa" w:w="100"/>
              <w:right w:type="dxa" w:w="100"/>
            </w:tcMar>
            <w:vAlign w:val="center"/>
          </w:tcPr>
          <w:p>
            <w:r>
              <w:rPr>
                <w:b/>
                <w:bCs/>
                <w:color w:val="FFFFFF"/>
                <w:sz w:val="18"/>
                <w:szCs w:val="18"/>
              </w:rPr>
              <w:t xml:space="preserve">Actual result</w:t>
            </w:r>
          </w:p>
        </w:tc>
        <w:tc>
          <w:tcPr>
            <w:tcW w:type="dxa" w:w="1300"/>
            <w:shd w:fill="36013F" w:val="clear"/>
            <w:tcMar>
              <w:top w:type="dxa" w:w="100"/>
              <w:left w:type="dxa" w:w="100"/>
              <w:bottom w:type="dxa" w:w="100"/>
              <w:right w:type="dxa" w:w="100"/>
            </w:tcMar>
            <w:vAlign w:val="center"/>
          </w:tcPr>
          <w:p>
            <w:r>
              <w:rPr>
                <w:b/>
                <w:bCs/>
                <w:color w:val="FFFFFF"/>
                <w:sz w:val="18"/>
                <w:szCs w:val="18"/>
              </w:rPr>
              <w:t xml:space="preserve">Pass/Fail</w:t>
            </w:r>
          </w:p>
        </w:tc>
        <w:tc>
          <w:tcPr>
            <w:tcW w:type="dxa" w:w="2698"/>
            <w:shd w:fill="36013F" w:val="clear"/>
            <w:tcMar>
              <w:top w:type="dxa" w:w="100"/>
              <w:left w:type="dxa" w:w="100"/>
              <w:bottom w:type="dxa" w:w="100"/>
              <w:right w:type="dxa" w:w="100"/>
            </w:tcMar>
            <w:vAlign w:val="center"/>
          </w:tcPr>
          <w:p>
            <w:r>
              <w:rPr>
                <w:b/>
                <w:bCs/>
                <w:color w:val="FFFFFF"/>
                <w:sz w:val="18"/>
                <w:szCs w:val="18"/>
              </w:rPr>
              <w:t xml:space="preserve">Date / evidence</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TC-01</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AI semantic search</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POST a natural-language query ("somewhere to cool off on a hot day") to /api/search</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Returns ranked listings matching the described need via meaning, not literal keyword overlap</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Returned listings with pool-related features in top results; confirmed structurally across 8 paraphrase queries, mean Precision@5 0.300 vs. 0.275 for a keyword baseline</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docs/search-evaluation.md, 6 Oct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TC-02</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AI semantic search — literal term edge case</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Query on a single literal feature word ("concierge")</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Listings with that literal feature appear in top results</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0/5 relevant in top 6 — the deployed minScore: 0.15 cutoff filtered out literal matches on this short query</w:t>
            </w:r>
          </w:p>
        </w:tc>
        <w:tc>
          <w:tcPr>
            <w:tcW w:type="dxa" w:w="1300"/>
            <w:shd w:fill="F6F1E7" w:val="clear"/>
            <w:tcMar>
              <w:top w:type="dxa" w:w="80"/>
              <w:left w:type="dxa" w:w="100"/>
              <w:bottom w:type="dxa" w:w="80"/>
              <w:right w:type="dxa" w:w="100"/>
            </w:tcMar>
            <w:vAlign w:val="center"/>
          </w:tcPr>
          <w:p>
            <w:pPr>
              <w:jc w:val="center"/>
            </w:pPr>
            <w:r>
              <w:rPr>
                <w:b/>
                <w:bCs/>
                <w:color w:val="B3261E"/>
                <w:sz w:val="18"/>
                <w:szCs w:val="18"/>
              </w:rPr>
              <w:t xml:space="preserve">Fail (open)</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docs/search-evaluation.md, 6 Oct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TC-03</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AI assistant (RAG) grounding</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Run 15 test questions (12 realistic, 3 adversarial) against /api/assistant, check every [ID:...] cited is one of the 6 listings retrieval actually returned</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Zero citations outside the retrieved candidate set</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15/15 requests succeeded, 14/15 got a grounded reply, 0 hallucinated citations across every run</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docs/ai-assistant-evaluation.md, 2 Oct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TC-04</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AI assistant — reasoning-token budget</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Ask a realistic client brief; check a non-empty reply is returned</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Assistant returns a real reply, not an empty string</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First run: ~20-30% of real questions returned empty text (gpt-oss-20b exhausted maxOutputTokens on invisible reasoning before writing a reply)</w:t>
            </w:r>
          </w:p>
        </w:tc>
        <w:tc>
          <w:tcPr>
            <w:tcW w:type="dxa" w:w="1300"/>
            <w:shd w:fill="F6F1E7" w:val="clear"/>
            <w:tcMar>
              <w:top w:type="dxa" w:w="80"/>
              <w:left w:type="dxa" w:w="100"/>
              <w:bottom w:type="dxa" w:w="80"/>
              <w:right w:type="dxa" w:w="100"/>
            </w:tcMar>
            <w:vAlign w:val="center"/>
          </w:tcPr>
          <w:p>
            <w:pPr>
              <w:jc w:val="center"/>
            </w:pPr>
            <w:r>
              <w:rPr>
                <w:b/>
                <w:bCs/>
                <w:color w:val="1A5C8A"/>
                <w:sz w:val="18"/>
                <w:szCs w:val="18"/>
              </w:rPr>
              <w:t xml:space="preserve">Fail (fixed)</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2 Oct — raised maxOutputTokens 350→900, confirmed on re-run</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TC-05</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AI assistant — follow-up formatting</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Ask a follow-up question naming multiple properties / inviting a list-style answer</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Reply uses the same plain-sentence [ID:...] citation format as the first turn, no markdown</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Model switched to markdown links with invented URLs, and separately to bold/numbered-list formatting, on two different follow-up questions</w:t>
            </w:r>
          </w:p>
        </w:tc>
        <w:tc>
          <w:tcPr>
            <w:tcW w:type="dxa" w:w="1300"/>
            <w:tcMar>
              <w:top w:type="dxa" w:w="80"/>
              <w:left w:type="dxa" w:w="100"/>
              <w:bottom w:type="dxa" w:w="80"/>
              <w:right w:type="dxa" w:w="100"/>
            </w:tcMar>
            <w:vAlign w:val="center"/>
          </w:tcPr>
          <w:p>
            <w:pPr>
              <w:jc w:val="center"/>
            </w:pPr>
            <w:r>
              <w:rPr>
                <w:b/>
                <w:bCs/>
                <w:color w:val="1A5C8A"/>
                <w:sz w:val="18"/>
                <w:szCs w:val="18"/>
              </w:rPr>
              <w:t xml:space="preserve">Fail (fixed)</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2 Oct — system prompt strengthened twice + defensive markdown-stripping fallback added</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TC-06</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AI assistant — session persistence</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Complete a search + follow-up conversation on /search, navigate to /buy, navigate back</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Search, results and conversation thread are restored unchanged</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Initially lost on navigation (React state unmounts on route change)</w:t>
            </w:r>
          </w:p>
        </w:tc>
        <w:tc>
          <w:tcPr>
            <w:tcW w:type="dxa" w:w="1300"/>
            <w:shd w:fill="F6F1E7" w:val="clear"/>
            <w:tcMar>
              <w:top w:type="dxa" w:w="80"/>
              <w:left w:type="dxa" w:w="100"/>
              <w:bottom w:type="dxa" w:w="80"/>
              <w:right w:type="dxa" w:w="100"/>
            </w:tcMar>
            <w:vAlign w:val="center"/>
          </w:tcPr>
          <w:p>
            <w:pPr>
              <w:jc w:val="center"/>
            </w:pPr>
            <w:r>
              <w:rPr>
                <w:b/>
                <w:bCs/>
                <w:color w:val="1A5C8A"/>
                <w:sz w:val="18"/>
                <w:szCs w:val="18"/>
              </w:rPr>
              <w:t xml:space="preserve">Fail (fixed)</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2 Oct — state saved to sessionStorage on every completed search, restored on mount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TC-07</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Data integrity — listing slugs</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Generate all 150 listings (8 hand-written + 142 procedural), check for duplicate slugs</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Every listing has a unique slug</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2 duplicate pairs found (phillimore-gardens-kensington-w8, harley-street-marylebone-w1) — generator didn’t know about the hand-written listings’ slugs</w:t>
            </w:r>
          </w:p>
        </w:tc>
        <w:tc>
          <w:tcPr>
            <w:tcW w:type="dxa" w:w="1300"/>
            <w:tcMar>
              <w:top w:type="dxa" w:w="80"/>
              <w:left w:type="dxa" w:w="100"/>
              <w:bottom w:type="dxa" w:w="80"/>
              <w:right w:type="dxa" w:w="100"/>
            </w:tcMar>
            <w:vAlign w:val="center"/>
          </w:tcPr>
          <w:p>
            <w:pPr>
              <w:jc w:val="center"/>
            </w:pPr>
            <w:r>
              <w:rPr>
                <w:b/>
                <w:bCs/>
                <w:color w:val="1A5C8A"/>
                <w:sz w:val="18"/>
                <w:szCs w:val="18"/>
              </w:rPr>
              <w:t xml:space="preserve">Fail (fixed)</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3 Oct — hand-written slugs seeded into generator’s dedup set; re-verified 150/150 unique</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TC-08</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Data integrity — Supabase seed</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Run npm run db:seed against the real connected database</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All 150 listings upserted with embeddings computed</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First run failed (ws transport error on Node 20, then the duplicate-slug conflict above); both fixed, re-run succeeded: 150/150 upserted</w:t>
            </w:r>
          </w:p>
        </w:tc>
        <w:tc>
          <w:tcPr>
            <w:tcW w:type="dxa" w:w="1300"/>
            <w:shd w:fill="F6F1E7" w:val="clear"/>
            <w:tcMar>
              <w:top w:type="dxa" w:w="80"/>
              <w:left w:type="dxa" w:w="100"/>
              <w:bottom w:type="dxa" w:w="80"/>
              <w:right w:type="dxa" w:w="100"/>
            </w:tcMar>
            <w:vAlign w:val="center"/>
          </w:tcPr>
          <w:p>
            <w:pPr>
              <w:jc w:val="center"/>
            </w:pPr>
            <w:r>
              <w:rPr>
                <w:b/>
                <w:bCs/>
                <w:color w:val="1A5C8A"/>
                <w:sz w:val="18"/>
                <w:szCs w:val="18"/>
              </w:rPr>
              <w:t xml:space="preserve">Fail (fixed)</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3 Oct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TC-09</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Property stats bar — conditional fields</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Load a leasehold sale listing and a freehold let listing</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Sale listing shows all 6 stat fields (incl. Price/Sqft, Service Charge); let listing shows only the 3 that apply (Tenure, EPC, Council Tax)</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Confirmed correct on both listing types</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29 Sept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TC-10</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Property gallery lightbox</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Click the hero photo on a property page; use prev/next and Escape</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Full-screen lightbox opens, navigates, and closes correctly; zoom-then-pan works</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Confirmed working via Playwright click-through</w:t>
            </w:r>
          </w:p>
        </w:tc>
        <w:tc>
          <w:tcPr>
            <w:tcW w:type="dxa" w:w="1300"/>
            <w:shd w:fill="F6F1E7" w:val="clear"/>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29 Sept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TC-11</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Area content sweep</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Search the whole rendered site for "Belgravia" after removing it from AREAS</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Zero occurrences anywhere a visitor would see</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Confirmed zero occurrences across Home/⁠/buy/⁠/rent/⁠/contact; filter dropdown correctly lists the remaining 11 areas</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3 Oct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TC-12</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Valuation CTA routing</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Click "Book a valuation" (header + homepage CTA band) vs. plain "Contact" nav link</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Valuation CTA pre-fills the contact form with valuation-specific copy; plain Contact stays generic</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Confirmed both routes render distinct &lt;h1&gt;/pre-filled state; one bug found (bottom CTA band still linked to a bare /contact) and fixed</w:t>
            </w:r>
          </w:p>
        </w:tc>
        <w:tc>
          <w:tcPr>
            <w:tcW w:type="dxa" w:w="1300"/>
            <w:shd w:fill="F6F1E7" w:val="clear"/>
            <w:tcMar>
              <w:top w:type="dxa" w:w="80"/>
              <w:left w:type="dxa" w:w="100"/>
              <w:bottom w:type="dxa" w:w="80"/>
              <w:right w:type="dxa" w:w="100"/>
            </w:tcMar>
            <w:vAlign w:val="center"/>
          </w:tcPr>
          <w:p>
            <w:pPr>
              <w:jc w:val="center"/>
            </w:pPr>
            <w:r>
              <w:rPr>
                <w:b/>
                <w:bCs/>
                <w:color w:val="1A5C8A"/>
                <w:sz w:val="18"/>
                <w:szCs w:val="18"/>
              </w:rPr>
              <w:t xml:space="preserve">Fail (fixed)</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3 Oct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TC-13</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Admin — listing readiness checklist</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Fill an add-listing form field by field</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"N of 6 ready to publish" count increments live and accurately</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Confirmed 1→2→3 increments correctly, including the freehold auto-pass for lease details</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4 Oct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TC-14</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Admin — ImagesField gallery</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Reorder, add from library, and remove photos on an existing listing</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Cover/#N badges update correctly; line count (and readiness count) stays accurate through every operation</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Confirmed across reorder, add (6→7), and remove (7→6)</w:t>
            </w:r>
          </w:p>
        </w:tc>
        <w:tc>
          <w:tcPr>
            <w:tcW w:type="dxa" w:w="1300"/>
            <w:shd w:fill="F6F1E7" w:val="clear"/>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4 Oct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TC-15</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Admin — search/filter/pagination</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Use the /admin/listings search box, status/purpose filters, and Previous/Next pagination</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Correct subset of listings shown; CSV export reflects the active filter</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Confirmed working; CSV button correctly hidden on /admin/enquiries when there are zero enquiries</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4 Oct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TC-16</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Admin — numeric field validation</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Submit a malformed/non-numeric value into a price/bedrooms/etc. field server-side</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Submission is rejected or corrected server-side</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No server-side isNaN check exists — a malformed value would be written as NaN</w:t>
            </w:r>
          </w:p>
        </w:tc>
        <w:tc>
          <w:tcPr>
            <w:tcW w:type="dxa" w:w="1300"/>
            <w:shd w:fill="F6F1E7" w:val="clear"/>
            <w:tcMar>
              <w:top w:type="dxa" w:w="80"/>
              <w:left w:type="dxa" w:w="100"/>
              <w:bottom w:type="dxa" w:w="80"/>
              <w:right w:type="dxa" w:w="100"/>
            </w:tcMar>
            <w:vAlign w:val="center"/>
          </w:tcPr>
          <w:p>
            <w:pPr>
              <w:jc w:val="center"/>
            </w:pPr>
            <w:r>
              <w:rPr>
                <w:b/>
                <w:bCs/>
                <w:color w:val="B3261E"/>
                <w:sz w:val="18"/>
                <w:szCs w:val="18"/>
              </w:rPr>
              <w:t xml:space="preserve">Fail (open)</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4 Oct bug audit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TC-17</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Routing — 404 handling</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Navigate to a mistyped /property/[slug] URL</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A branded 404 page matching the site’s identity is shown</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Falls through to Next.js’s generic unbranded default 404 (no not-found.tsx exists)</w:t>
            </w:r>
          </w:p>
        </w:tc>
        <w:tc>
          <w:tcPr>
            <w:tcW w:type="dxa" w:w="1300"/>
            <w:tcMar>
              <w:top w:type="dxa" w:w="80"/>
              <w:left w:type="dxa" w:w="100"/>
              <w:bottom w:type="dxa" w:w="80"/>
              <w:right w:type="dxa" w:w="100"/>
            </w:tcMar>
            <w:vAlign w:val="center"/>
          </w:tcPr>
          <w:p>
            <w:pPr>
              <w:jc w:val="center"/>
            </w:pPr>
            <w:r>
              <w:rPr>
                <w:b/>
                <w:bCs/>
                <w:color w:val="B3261E"/>
                <w:sz w:val="18"/>
                <w:szCs w:val="18"/>
              </w:rPr>
              <w:t xml:space="preserve">Fail (open)</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4 Oct bug audit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TC-18</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Responsive layout — mobile overflow</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Load Home/⁠/buy/⁠/rent/⁠/search/⁠/about/⁠/contact and all 4 admin pages at 390px width</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document.body.scrollWidth / documentElement.scrollWidth exactly 390, no horizontal scroll</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One real bug found and fixed (admin dashboard table pushed the page to 723px); all pages confirmed exactly 390px after the fix</w:t>
            </w:r>
          </w:p>
        </w:tc>
        <w:tc>
          <w:tcPr>
            <w:tcW w:type="dxa" w:w="1300"/>
            <w:shd w:fill="F6F1E7" w:val="clear"/>
            <w:tcMar>
              <w:top w:type="dxa" w:w="80"/>
              <w:left w:type="dxa" w:w="100"/>
              <w:bottom w:type="dxa" w:w="80"/>
              <w:right w:type="dxa" w:w="100"/>
            </w:tcMar>
            <w:vAlign w:val="center"/>
          </w:tcPr>
          <w:p>
            <w:pPr>
              <w:jc w:val="center"/>
            </w:pPr>
            <w:r>
              <w:rPr>
                <w:b/>
                <w:bCs/>
                <w:color w:val="1A5C8A"/>
                <w:sz w:val="18"/>
                <w:szCs w:val="18"/>
              </w:rPr>
              <w:t xml:space="preserve">Fail (fixed)</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4 Oct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TC-19</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Cross-page consistency — contact details</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Compare phone number and opening hours across About, Contact and Footer</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Identical phone/hours everywhere</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Confirmed consistent (this was the original live-site’s own bug, now fixed in the rebuild)</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4 Oct, re-confirmed 6 Oct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TC-20</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Cross-page consistency — property page agent card</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Compare the property page’s agent contact card against About/Contact/Footer</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Same phone/email domain used site-wide</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New instance of the same class of bug found: agent card uses prime@manzell.co.uk while every other page uses the .com domain</w:t>
            </w:r>
          </w:p>
        </w:tc>
        <w:tc>
          <w:tcPr>
            <w:tcW w:type="dxa" w:w="1300"/>
            <w:shd w:fill="F6F1E7" w:val="clear"/>
            <w:tcMar>
              <w:top w:type="dxa" w:w="80"/>
              <w:left w:type="dxa" w:w="100"/>
              <w:bottom w:type="dxa" w:w="80"/>
              <w:right w:type="dxa" w:w="100"/>
            </w:tcMar>
            <w:vAlign w:val="center"/>
          </w:tcPr>
          <w:p>
            <w:pPr>
              <w:jc w:val="center"/>
            </w:pPr>
            <w:r>
              <w:rPr>
                <w:b/>
                <w:bCs/>
                <w:color w:val="B3261E"/>
                <w:sz w:val="18"/>
                <w:szCs w:val="18"/>
              </w:rPr>
              <w:t xml:space="preserve">Fail (open)</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6 Oct heuristic re-evaluation</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TC-21</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Accessibility — colour contrast</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Run Lighthouse’s accessibility audit against Home, /buy, and a property page</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No contrast failures</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All three pages flagged the same issue: the small bed/bath/reception metadata text fails WCAG contrast against the cream background</w:t>
            </w:r>
          </w:p>
        </w:tc>
        <w:tc>
          <w:tcPr>
            <w:tcW w:type="dxa" w:w="1300"/>
            <w:tcMar>
              <w:top w:type="dxa" w:w="80"/>
              <w:left w:type="dxa" w:w="100"/>
              <w:bottom w:type="dxa" w:w="80"/>
              <w:right w:type="dxa" w:w="100"/>
            </w:tcMar>
            <w:vAlign w:val="center"/>
          </w:tcPr>
          <w:p>
            <w:pPr>
              <w:jc w:val="center"/>
            </w:pPr>
            <w:r>
              <w:rPr>
                <w:b/>
                <w:bCs/>
                <w:color w:val="B3261E"/>
                <w:sz w:val="18"/>
                <w:szCs w:val="18"/>
              </w:rPr>
              <w:t xml:space="preserve">Fail (open)</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docs/lighthouse-evaluation.md, 6 Oct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TC-22</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Accessibility — image alt text</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Check every &lt;img&gt; on Home, /buy, and a property page for a non-empty alt</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Zero images missing alt text</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Zero missing across all three new-build pages (vs. 8 of 17 missing on the old live site’s listings page)</w:t>
            </w:r>
          </w:p>
        </w:tc>
        <w:tc>
          <w:tcPr>
            <w:tcW w:type="dxa" w:w="1300"/>
            <w:shd w:fill="F6F1E7" w:val="clear"/>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docs/lighthouse-evaluation.md, 6 Oct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TC-23</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Admin auth gate</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Attempt to load any /admin/* route or trigger an admin server action without a valid session</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Request is redirected/blocked by the auth gate</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Confirmed src/proxy.ts correctly gates every admin page and server action</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4 Oct bug audit</w:t>
            </w:r>
          </w:p>
        </w:tc>
      </w:tr>
      <w:tr>
        <w:tc>
          <w:tcPr>
            <w:tcW w:type="dxa" w:w="7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TC-24</w:t>
            </w:r>
          </w:p>
        </w:tc>
        <w:tc>
          <w:tcPr>
            <w:tcW w:type="dxa" w:w="1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Secret handling</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Check the Supabase service-role key and Groq API key are never reachable from client-side code</w:t>
            </w:r>
          </w:p>
        </w:tc>
        <w:tc>
          <w:tcPr>
            <w:tcW w:type="dxa" w:w="2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Both keys stay server-only</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Confirmed both are behind import "server-only" in every file that uses them</w:t>
            </w:r>
          </w:p>
        </w:tc>
        <w:tc>
          <w:tcPr>
            <w:tcW w:type="dxa" w:w="1300"/>
            <w:shd w:fill="F6F1E7" w:val="clear"/>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4 Oct bug audit</w:t>
            </w:r>
          </w:p>
        </w:tc>
      </w:tr>
      <w:tr>
        <w:tc>
          <w:tcPr>
            <w:tcW w:type="dxa" w:w="700"/>
            <w:tcMar>
              <w:top w:type="dxa" w:w="80"/>
              <w:left w:type="dxa" w:w="100"/>
              <w:bottom w:type="dxa" w:w="80"/>
              <w:right w:type="dxa" w:w="100"/>
            </w:tcMar>
            <w:vAlign w:val="center"/>
          </w:tcPr>
          <w:p>
            <w:pPr>
              <w:jc w:val="left"/>
            </w:pPr>
            <w:r>
              <w:rPr>
                <w:b w:val="false"/>
                <w:bCs w:val="false"/>
                <w:color w:val="1F1A21"/>
                <w:sz w:val="18"/>
                <w:szCs w:val="18"/>
              </w:rPr>
              <w:t xml:space="preserve">TC-25</w:t>
            </w:r>
          </w:p>
        </w:tc>
        <w:tc>
          <w:tcPr>
            <w:tcW w:type="dxa" w:w="1600"/>
            <w:tcMar>
              <w:top w:type="dxa" w:w="80"/>
              <w:left w:type="dxa" w:w="100"/>
              <w:bottom w:type="dxa" w:w="80"/>
              <w:right w:type="dxa" w:w="100"/>
            </w:tcMar>
            <w:vAlign w:val="center"/>
          </w:tcPr>
          <w:p>
            <w:pPr>
              <w:jc w:val="left"/>
            </w:pPr>
            <w:r>
              <w:rPr>
                <w:b w:val="false"/>
                <w:bCs w:val="false"/>
                <w:color w:val="1F1A21"/>
                <w:sz w:val="18"/>
                <w:szCs w:val="18"/>
              </w:rPr>
              <w:t xml:space="preserve">Production build health</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npm run lint, npx tsc --noEmit, next build (all routes)</w:t>
            </w:r>
          </w:p>
        </w:tc>
        <w:tc>
          <w:tcPr>
            <w:tcW w:type="dxa" w:w="2500"/>
            <w:tcMar>
              <w:top w:type="dxa" w:w="80"/>
              <w:left w:type="dxa" w:w="100"/>
              <w:bottom w:type="dxa" w:w="80"/>
              <w:right w:type="dxa" w:w="100"/>
            </w:tcMar>
            <w:vAlign w:val="center"/>
          </w:tcPr>
          <w:p>
            <w:pPr>
              <w:jc w:val="left"/>
            </w:pPr>
            <w:r>
              <w:rPr>
                <w:b w:val="false"/>
                <w:bCs w:val="false"/>
                <w:color w:val="1F1A21"/>
                <w:sz w:val="18"/>
                <w:szCs w:val="18"/>
              </w:rPr>
              <w:t xml:space="preserve">Zero warnings, zero type errors, zero build failures</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Confirmed clean on every verified change throughout the project, most recently 6 Oct</w:t>
            </w:r>
          </w:p>
        </w:tc>
        <w:tc>
          <w:tcPr>
            <w:tcW w:type="dxa" w:w="1300"/>
            <w:tcMar>
              <w:top w:type="dxa" w:w="80"/>
              <w:left w:type="dxa" w:w="100"/>
              <w:bottom w:type="dxa" w:w="80"/>
              <w:right w:type="dxa" w:w="100"/>
            </w:tcMar>
            <w:vAlign w:val="center"/>
          </w:tcPr>
          <w:p>
            <w:pPr>
              <w:jc w:val="center"/>
            </w:pPr>
            <w:r>
              <w:rPr>
                <w:b/>
                <w:bCs/>
                <w:color w:val="2E7D32"/>
                <w:sz w:val="18"/>
                <w:szCs w:val="18"/>
              </w:rPr>
              <w:t xml:space="preserve">Pass</w:t>
            </w:r>
          </w:p>
        </w:tc>
        <w:tc>
          <w:tcPr>
            <w:tcW w:type="dxa" w:w="2698"/>
            <w:tcMar>
              <w:top w:type="dxa" w:w="80"/>
              <w:left w:type="dxa" w:w="100"/>
              <w:bottom w:type="dxa" w:w="80"/>
              <w:right w:type="dxa" w:w="100"/>
            </w:tcMar>
            <w:vAlign w:val="center"/>
          </w:tcPr>
          <w:p>
            <w:pPr>
              <w:jc w:val="left"/>
            </w:pPr>
            <w:r>
              <w:rPr>
                <w:b w:val="false"/>
                <w:bCs w:val="false"/>
                <w:color w:val="1F1A21"/>
                <w:sz w:val="18"/>
                <w:szCs w:val="18"/>
              </w:rPr>
              <w:t xml:space="preserve">Ongoing, most recently 6 Oct</w:t>
            </w:r>
          </w:p>
        </w:tc>
      </w:tr>
    </w:tbl>
    <w:p>
      <w:pPr>
        <w:spacing w:after="240" w:before="60"/>
      </w:pPr>
      <w:r>
        <w:rPr>
          <w:i/>
          <w:iCs/>
          <w:color w:val="6B5F66"/>
          <w:sz w:val="18"/>
          <w:szCs w:val="18"/>
        </w:rPr>
        <w:t xml:space="preserve">Table 18.1 — 25 test cases across AI search, AI assistant, data integrity, admin backend, cross-cutting UX/accessibility, and build health.</w:t>
      </w:r>
    </w:p>
    <w:p>
      <w:pPr>
        <w:spacing w:after="160"/>
      </w:pPr>
      <w:r>
        <w:rPr>
          <w:i w:val="false"/>
          <w:iCs w:val="false"/>
          <w:sz w:val="20"/>
          <w:szCs w:val="20"/>
        </w:rPr>
        <w:t xml:space="preserve">Summary: 13 passed outright on first verification; 7 started as a real failure found during development and were fixed before shipping, confirmed on re-test (TC-04, 05, 06, 07, 08, 12, 18); 5 are known, documented, not-yet-fixed gaps (TC-02, 16, 17, 20, 21).</w:t>
      </w:r>
    </w:p>
    <w:p>
      <w:pPr>
        <w:sectPr>
          <w:pgSz w:w="16838" w:h="11906" w:orient="landscape"/>
          <w:pgMar w:top="900" w:right="700" w:bottom="900" w:left="700" w:header="708" w:footer="708" w:gutter="0"/>
          <w:pgNumType/>
          <w:docGrid w:linePitch="360"/>
        </w:sectPr>
      </w:pPr>
    </w:p>
    <w:p>
      <w:pPr>
        <w:pStyle w:val="Heading1"/>
        <w:spacing w:after="160" w:before="200"/>
      </w:pPr>
      <w:r>
        <w:rPr>
          <w:b/>
          <w:bCs/>
          <w:color w:val="36013F"/>
        </w:rPr>
        <w:t xml:space="preserve">19 — Heuristic Evaluation: Original vs. Re-Evaluation</w:t>
      </w:r>
    </w:p>
    <w:p>
      <w:pPr>
        <w:spacing w:after="160"/>
      </w:pPr>
      <w:r>
        <w:rPr>
          <w:i w:val="false"/>
          <w:iCs w:val="false"/>
          <w:sz w:val="20"/>
          <w:szCs w:val="20"/>
        </w:rPr>
        <w:t xml:space="preserve">Run 6 Oct 2026 against the new build (localhost:3000) and the original live-site audit (Manzell_Site_Audit_Brand_Reference.docx, 13 Sept 2026 crawl of manzell.com).</w:t>
      </w:r>
    </w:p>
    <w:p>
      <w:pPr>
        <w:pStyle w:val="Heading2"/>
        <w:spacing w:after="120" w:before="240"/>
      </w:pPr>
      <w:r>
        <w:rPr>
          <w:b/>
          <w:bCs/>
          <w:color w:val="36013F"/>
        </w:rPr>
        <w:t xml:space="preserve">Part 1 — Re-testing the five baseline findings</w:t>
      </w:r>
    </w:p>
    <w:tbl>
      <w:tblPr>
        <w:tblW w:type="dxa" w:w="14498"/>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600"/>
        <w:gridCol w:w="8198"/>
      </w:tblGrid>
      <w:tr>
        <w:trPr>
          <w:tblHeader/>
        </w:trPr>
        <w:tc>
          <w:tcPr>
            <w:tcW w:type="dxa" w:w="500"/>
            <w:shd w:fill="36013F" w:val="clear"/>
            <w:tcMar>
              <w:top w:type="dxa" w:w="100"/>
              <w:left w:type="dxa" w:w="100"/>
              <w:bottom w:type="dxa" w:w="100"/>
              <w:right w:type="dxa" w:w="100"/>
            </w:tcMar>
            <w:vAlign w:val="center"/>
          </w:tcPr>
          <w:p>
            <w:r>
              <w:rPr>
                <w:b/>
                <w:bCs/>
                <w:color w:val="FFFFFF"/>
                <w:sz w:val="18"/>
                <w:szCs w:val="18"/>
              </w:rPr>
              <w:t xml:space="preserve">#</w:t>
            </w:r>
          </w:p>
        </w:tc>
        <w:tc>
          <w:tcPr>
            <w:tcW w:type="dxa" w:w="3200"/>
            <w:shd w:fill="36013F" w:val="clear"/>
            <w:tcMar>
              <w:top w:type="dxa" w:w="100"/>
              <w:left w:type="dxa" w:w="100"/>
              <w:bottom w:type="dxa" w:w="100"/>
              <w:right w:type="dxa" w:w="100"/>
            </w:tcMar>
            <w:vAlign w:val="center"/>
          </w:tcPr>
          <w:p>
            <w:r>
              <w:rPr>
                <w:b/>
                <w:bCs/>
                <w:color w:val="FFFFFF"/>
                <w:sz w:val="18"/>
                <w:szCs w:val="18"/>
              </w:rPr>
              <w:t xml:space="preserve">Baseline finding (13 Sept)</w:t>
            </w:r>
          </w:p>
        </w:tc>
        <w:tc>
          <w:tcPr>
            <w:tcW w:type="dxa" w:w="2600"/>
            <w:shd w:fill="36013F" w:val="clear"/>
            <w:tcMar>
              <w:top w:type="dxa" w:w="100"/>
              <w:left w:type="dxa" w:w="100"/>
              <w:bottom w:type="dxa" w:w="100"/>
              <w:right w:type="dxa" w:w="100"/>
            </w:tcMar>
            <w:vAlign w:val="center"/>
          </w:tcPr>
          <w:p>
            <w:r>
              <w:rPr>
                <w:b/>
                <w:bCs/>
                <w:color w:val="FFFFFF"/>
                <w:sz w:val="18"/>
                <w:szCs w:val="18"/>
              </w:rPr>
              <w:t xml:space="preserve">Status in new build</w:t>
            </w:r>
          </w:p>
        </w:tc>
        <w:tc>
          <w:tcPr>
            <w:tcW w:type="dxa" w:w="8198"/>
            <w:shd w:fill="36013F" w:val="clear"/>
            <w:tcMar>
              <w:top w:type="dxa" w:w="100"/>
              <w:left w:type="dxa" w:w="100"/>
              <w:bottom w:type="dxa" w:w="100"/>
              <w:right w:type="dxa" w:w="100"/>
            </w:tcMar>
            <w:vAlign w:val="center"/>
          </w:tcPr>
          <w:p>
            <w:r>
              <w:rPr>
                <w:b/>
                <w:bCs/>
                <w:color w:val="FFFFFF"/>
                <w:sz w:val="18"/>
                <w:szCs w:val="18"/>
              </w:rPr>
              <w:t xml:space="preserve">Evidence</w:t>
            </w:r>
          </w:p>
        </w:tc>
      </w:tr>
      <w:tr>
        <w:tc>
          <w:tcPr>
            <w:tcW w:type="dxa" w:w="500"/>
            <w:tcMar>
              <w:top w:type="dxa" w:w="80"/>
              <w:left w:type="dxa" w:w="100"/>
              <w:bottom w:type="dxa" w:w="80"/>
              <w:right w:type="dxa" w:w="100"/>
            </w:tcMar>
            <w:vAlign w:val="center"/>
          </w:tcPr>
          <w:p>
            <w:pPr>
              <w:jc w:val="left"/>
            </w:pPr>
            <w:r>
              <w:rPr>
                <w:b w:val="false"/>
                <w:bCs w:val="false"/>
                <w:color w:val="1F1A21"/>
                <w:sz w:val="18"/>
                <w:szCs w:val="18"/>
              </w:rPr>
              <w:t xml:space="preserve">1</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Nielsen #4 (Consistency): phone number and opening hours differ between About and Contact pages</w:t>
            </w:r>
          </w:p>
        </w:tc>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Hours: fixed. Phone: a new, different instance of the same problem appeared elsewhere.</w:t>
            </w:r>
          </w:p>
        </w:tc>
        <w:tc>
          <w:tcPr>
            <w:tcW w:type="dxa" w:w="8198"/>
            <w:tcMar>
              <w:top w:type="dxa" w:w="80"/>
              <w:left w:type="dxa" w:w="100"/>
              <w:bottom w:type="dxa" w:w="80"/>
              <w:right w:type="dxa" w:w="100"/>
            </w:tcMar>
            <w:vAlign w:val="center"/>
          </w:tcPr>
          <w:p>
            <w:pPr>
              <w:jc w:val="left"/>
            </w:pPr>
            <w:r>
              <w:rPr>
                <w:b w:val="false"/>
                <w:bCs w:val="false"/>
                <w:color w:val="1F1A21"/>
                <w:sz w:val="18"/>
                <w:szCs w:val="18"/>
              </w:rPr>
              <w:t xml:space="preserve">About and Contact both now read "Mon–Fri 9–6 · Sat 10–4" — consistent. But every property detail page’s agent contact card (src/app/(site)/property/[slug]/page.tsx, line 206) hardcodes phone 020 7946 0958 (inside Ofcom’s reserved fictional/drama-use range) and email prime@manzell.co.uk, while About, Contact and the Footer all consistently use 020 3337 8554 and the .com domain.</w:t>
            </w:r>
          </w:p>
        </w:tc>
      </w:tr>
      <w:tr>
        <w:tc>
          <w:tcPr>
            <w:tcW w:type="dxa" w:w="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2</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Nielsen #2 (Match with real world): search was dropdown-only, no natural-language support</w:t>
            </w:r>
          </w:p>
        </w:tc>
        <w:tc>
          <w:tcPr>
            <w:tcW w:type="dxa" w:w="2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Fixed — the project’s core deliverable.</w:t>
            </w:r>
          </w:p>
        </w:tc>
        <w:tc>
          <w:tcPr>
            <w:tcW w:type="dxa" w:w="81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/search accepts free-text queries ("somewhere to cool off on a hot day") and returns ranked results via semantic embedding, confirmed in docs/search-evaluation.md. Caveat: semantic search can still miss an exact literal term ("concierge" scored 0/5 relevant in top 6) — no literal-match fallback yet for very short, single-concept queries.</w:t>
            </w:r>
          </w:p>
        </w:tc>
      </w:tr>
      <w:tr>
        <w:tc>
          <w:tcPr>
            <w:tcW w:type="dxa" w:w="500"/>
            <w:tcMar>
              <w:top w:type="dxa" w:w="80"/>
              <w:left w:type="dxa" w:w="100"/>
              <w:bottom w:type="dxa" w:w="80"/>
              <w:right w:type="dxa" w:w="100"/>
            </w:tcMar>
            <w:vAlign w:val="center"/>
          </w:tcPr>
          <w:p>
            <w:pPr>
              <w:jc w:val="left"/>
            </w:pPr>
            <w:r>
              <w:rPr>
                <w:b w:val="false"/>
                <w:bCs w:val="false"/>
                <w:color w:val="1F1A21"/>
                <w:sz w:val="18"/>
                <w:szCs w:val="18"/>
              </w:rPr>
              <w:t xml:space="preserve">3</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Recognition/content strategy: Valuation, Selling, Buying, Letting were four near-identical thin template pages</w:t>
            </w:r>
          </w:p>
        </w:tc>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Not fixed — descoped, not rebuilt.</w:t>
            </w:r>
          </w:p>
        </w:tc>
        <w:tc>
          <w:tcPr>
            <w:tcW w:type="dxa" w:w="8198"/>
            <w:tcMar>
              <w:top w:type="dxa" w:w="80"/>
              <w:left w:type="dxa" w:w="100"/>
              <w:bottom w:type="dxa" w:w="80"/>
              <w:right w:type="dxa" w:w="100"/>
            </w:tcMar>
            <w:vAlign w:val="center"/>
          </w:tcPr>
          <w:p>
            <w:pPr>
              <w:jc w:val="left"/>
            </w:pPr>
            <w:r>
              <w:rPr>
                <w:b w:val="false"/>
                <w:bCs w:val="false"/>
                <w:color w:val="1F1A21"/>
                <w:sz w:val="18"/>
                <w:szCs w:val="18"/>
              </w:rPr>
              <w:t xml:space="preserve">None of these routes exist in the new build (src/app/(site)/ has only about, buy, contact, property, rent, search). A defensible MoSCoW scoping decision (Must-Have tier prioritised search, AI and the admin backend) — stated plainly as a scoping decision, not an oversight.</w:t>
            </w:r>
          </w:p>
        </w:tc>
      </w:tr>
      <w:tr>
        <w:tc>
          <w:tcPr>
            <w:tcW w:type="dxa" w:w="5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4</w:t>
            </w:r>
          </w:p>
        </w:tc>
        <w:tc>
          <w:tcPr>
            <w:tcW w:type="dxa" w:w="32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No visible conversational entry point anywhere on the old site</w:t>
            </w:r>
          </w:p>
        </w:tc>
        <w:tc>
          <w:tcPr>
            <w:tcW w:type="dxa" w:w="2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Fixed, and done well.</w:t>
            </w:r>
          </w:p>
        </w:tc>
        <w:tc>
          <w:tcPr>
            <w:tcW w:type="dxa" w:w="81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/search carries the AI assistant, reachable from a clearly labelled "AI Search" link in the main header nav (src/components/Header.tsx) on every page — a named, permanent nav item rather than a floating chat bubble a visitor might miss or distrust.</w:t>
            </w:r>
          </w:p>
        </w:tc>
      </w:tr>
      <w:tr>
        <w:tc>
          <w:tcPr>
            <w:tcW w:type="dxa" w:w="500"/>
            <w:tcMar>
              <w:top w:type="dxa" w:w="80"/>
              <w:left w:type="dxa" w:w="100"/>
              <w:bottom w:type="dxa" w:w="80"/>
              <w:right w:type="dxa" w:w="100"/>
            </w:tcMar>
            <w:vAlign w:val="center"/>
          </w:tcPr>
          <w:p>
            <w:pPr>
              <w:jc w:val="left"/>
            </w:pPr>
            <w:r>
              <w:rPr>
                <w:b w:val="false"/>
                <w:bCs w:val="false"/>
                <w:color w:val="1F1A21"/>
                <w:sz w:val="18"/>
                <w:szCs w:val="18"/>
              </w:rPr>
              <w:t xml:space="preserve">5</w:t>
            </w:r>
          </w:p>
        </w:tc>
        <w:tc>
          <w:tcPr>
            <w:tcW w:type="dxa" w:w="3200"/>
            <w:tcMar>
              <w:top w:type="dxa" w:w="80"/>
              <w:left w:type="dxa" w:w="100"/>
              <w:bottom w:type="dxa" w:w="80"/>
              <w:right w:type="dxa" w:w="100"/>
            </w:tcMar>
            <w:vAlign w:val="center"/>
          </w:tcPr>
          <w:p>
            <w:pPr>
              <w:jc w:val="left"/>
            </w:pPr>
            <w:r>
              <w:rPr>
                <w:b w:val="false"/>
                <w:bCs w:val="false"/>
                <w:color w:val="1F1A21"/>
                <w:sz w:val="18"/>
                <w:szCs w:val="18"/>
              </w:rPr>
              <w:t xml:space="preserve">Ad hoc status/accent colours (red and amber each used exactly once, unintentional)</w:t>
            </w:r>
          </w:p>
        </w:tc>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Fixed.</w:t>
            </w:r>
          </w:p>
        </w:tc>
        <w:tc>
          <w:tcPr>
            <w:tcW w:type="dxa" w:w="8198"/>
            <w:tcMar>
              <w:top w:type="dxa" w:w="80"/>
              <w:left w:type="dxa" w:w="100"/>
              <w:bottom w:type="dxa" w:w="80"/>
              <w:right w:type="dxa" w:w="100"/>
            </w:tcMar>
            <w:vAlign w:val="center"/>
          </w:tcPr>
          <w:p>
            <w:pPr>
              <w:jc w:val="left"/>
            </w:pPr>
            <w:r>
              <w:rPr>
                <w:b w:val="false"/>
                <w:bCs w:val="false"/>
                <w:color w:val="1F1A21"/>
                <w:sz w:val="18"/>
                <w:szCs w:val="18"/>
              </w:rPr>
              <w:t xml:space="preserve">src/lib/format.ts defines a deliberate semantic token per status — bg-status-sale, bg-status-sstc, bg-status-let, plus the brand accent for "To Let" — exactly the distinct colours the original audit recommended.</w:t>
            </w:r>
          </w:p>
        </w:tc>
      </w:tr>
    </w:tbl>
    <w:p>
      <w:pPr>
        <w:spacing w:after="240" w:before="60"/>
      </w:pPr>
      <w:r>
        <w:rPr>
          <w:i/>
          <w:iCs/>
          <w:color w:val="6B5F66"/>
          <w:sz w:val="18"/>
          <w:szCs w:val="18"/>
        </w:rPr>
        <w:t xml:space="preserve">Table 19.1 — Net: 2 of 5 cleanly fixed, 1 fixed with a new smaller instance of the same problem appearing elsewhere, 1 genuinely improved with a known caveat, 1 not yet addressed (deferred by scope, not forgotten).</w:t>
      </w:r>
    </w:p>
    <w:p>
      <w:pPr>
        <w:spacing w:after="120"/>
      </w:pPr>
    </w:p>
    <w:p>
      <w:pPr>
        <w:pStyle w:val="Heading2"/>
        <w:spacing w:after="120" w:before="240"/>
      </w:pPr>
      <w:r>
        <w:rPr>
          <w:b/>
          <w:bCs/>
          <w:color w:val="36013F"/>
        </w:rPr>
        <w:t xml:space="preserve">Part 2 — Fresh pass across all ten Nielsen heuristics</w:t>
      </w:r>
    </w:p>
    <w:tbl>
      <w:tblPr>
        <w:tblW w:type="dxa" w:w="14498"/>
        <w:tblBorders>
          <w:top w:val="single" w:color="auto" w:sz="4"/>
          <w:left w:val="single" w:color="auto" w:sz="4"/>
          <w:bottom w:val="single" w:color="auto" w:sz="4"/>
          <w:right w:val="single" w:color="auto" w:sz="4"/>
          <w:insideH w:val="single" w:color="auto" w:sz="4"/>
          <w:insideV w:val="single" w:color="auto" w:sz="4"/>
        </w:tblBorders>
      </w:tblPr>
      <w:tblGrid>
        <w:gridCol w:w="2600"/>
        <w:gridCol w:w="11898"/>
      </w:tblGrid>
      <w:tr>
        <w:trPr>
          <w:tblHeader/>
        </w:trPr>
        <w:tc>
          <w:tcPr>
            <w:tcW w:type="dxa" w:w="2600"/>
            <w:shd w:fill="36013F" w:val="clear"/>
            <w:tcMar>
              <w:top w:type="dxa" w:w="100"/>
              <w:left w:type="dxa" w:w="100"/>
              <w:bottom w:type="dxa" w:w="100"/>
              <w:right w:type="dxa" w:w="100"/>
            </w:tcMar>
            <w:vAlign w:val="center"/>
          </w:tcPr>
          <w:p>
            <w:r>
              <w:rPr>
                <w:b/>
                <w:bCs/>
                <w:color w:val="FFFFFF"/>
                <w:sz w:val="18"/>
                <w:szCs w:val="18"/>
              </w:rPr>
              <w:t xml:space="preserve">Heuristic</w:t>
            </w:r>
          </w:p>
        </w:tc>
        <w:tc>
          <w:tcPr>
            <w:tcW w:type="dxa" w:w="11898"/>
            <w:shd w:fill="36013F" w:val="clear"/>
            <w:tcMar>
              <w:top w:type="dxa" w:w="100"/>
              <w:left w:type="dxa" w:w="100"/>
              <w:bottom w:type="dxa" w:w="100"/>
              <w:right w:type="dxa" w:w="100"/>
            </w:tcMar>
            <w:vAlign w:val="center"/>
          </w:tcPr>
          <w:p>
            <w:r>
              <w:rPr>
                <w:b/>
                <w:bCs/>
                <w:color w:val="FFFFFF"/>
                <w:sz w:val="18"/>
                <w:szCs w:val="18"/>
              </w:rPr>
              <w:t xml:space="preserve">Finding</w:t>
            </w:r>
          </w:p>
        </w:tc>
      </w:tr>
      <w:tr>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1. Visibility of system status</w:t>
            </w:r>
          </w:p>
        </w:tc>
        <w:tc>
          <w:tcPr>
            <w:tcW w:type="dxa" w:w="11898"/>
            <w:tcMar>
              <w:top w:type="dxa" w:w="80"/>
              <w:left w:type="dxa" w:w="100"/>
              <w:bottom w:type="dxa" w:w="80"/>
              <w:right w:type="dxa" w:w="100"/>
            </w:tcMar>
            <w:vAlign w:val="center"/>
          </w:tcPr>
          <w:p>
            <w:pPr>
              <w:jc w:val="left"/>
            </w:pPr>
            <w:r>
              <w:rPr>
                <w:b w:val="false"/>
                <w:bCs w:val="false"/>
                <w:color w:val="1F1A21"/>
                <w:sz w:val="18"/>
                <w:szCs w:val="18"/>
              </w:rPr>
              <w:t xml:space="preserve">The AI Search nav entry is clearly labelled, and listing counts/filter state are visible on /buy. Gap: semantic search never surfaces its own confidence — a query like "concierge" that scores poorly still returns six results with no indication the match quality is low.</w:t>
            </w:r>
          </w:p>
        </w:tc>
      </w:tr>
      <w:tr>
        <w:tc>
          <w:tcPr>
            <w:tcW w:type="dxa" w:w="2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2. Match between system and the real world</w:t>
            </w:r>
          </w:p>
        </w:tc>
        <w:tc>
          <w:tcPr>
            <w:tcW w:type="dxa" w:w="118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Natural-language search is the project’s headline improvement here. Property terminology (tenure, EPC rating, council tax band) matches how the UK property market actually talks about listings.</w:t>
            </w:r>
          </w:p>
        </w:tc>
      </w:tr>
      <w:tr>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3. User control and freedom</w:t>
            </w:r>
          </w:p>
        </w:tc>
        <w:tc>
          <w:tcPr>
            <w:tcW w:type="dxa" w:w="11898"/>
            <w:tcMar>
              <w:top w:type="dxa" w:w="80"/>
              <w:left w:type="dxa" w:w="100"/>
              <w:bottom w:type="dxa" w:w="80"/>
              <w:right w:type="dxa" w:w="100"/>
            </w:tcMar>
            <w:vAlign w:val="center"/>
          </w:tcPr>
          <w:p>
            <w:pPr>
              <w:jc w:val="left"/>
            </w:pPr>
            <w:r>
              <w:rPr>
                <w:b w:val="false"/>
                <w:bCs w:val="false"/>
                <w:color w:val="1F1A21"/>
                <w:sz w:val="18"/>
                <w:szCs w:val="18"/>
              </w:rPr>
              <w:t xml:space="preserve">Standard browser back/forward and in-app navigation work as expected; no modal traps or forced flows observed. Not independently stress-tested for this evaluation (e.g. multi-step admin forms).</w:t>
            </w:r>
          </w:p>
        </w:tc>
      </w:tr>
      <w:tr>
        <w:tc>
          <w:tcPr>
            <w:tcW w:type="dxa" w:w="2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4. Consistency and standards</w:t>
            </w:r>
          </w:p>
        </w:tc>
        <w:tc>
          <w:tcPr>
            <w:tcW w:type="dxa" w:w="118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Mixed: hours and status-colour consistency are now solid; the property-page agent contact card introduces a fresh phone/domain inconsistency. Typography and the Editorial Catalogue conventions are applied consistently elsewhere.</w:t>
            </w:r>
          </w:p>
        </w:tc>
      </w:tr>
      <w:tr>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5. Error prevention</w:t>
            </w:r>
          </w:p>
        </w:tc>
        <w:tc>
          <w:tcPr>
            <w:tcW w:type="dxa" w:w="11898"/>
            <w:tcMar>
              <w:top w:type="dxa" w:w="80"/>
              <w:left w:type="dxa" w:w="100"/>
              <w:bottom w:type="dxa" w:w="80"/>
              <w:right w:type="dxa" w:w="100"/>
            </w:tcMar>
            <w:vAlign w:val="center"/>
          </w:tcPr>
          <w:p>
            <w:pPr>
              <w:jc w:val="left"/>
            </w:pPr>
            <w:r>
              <w:rPr>
                <w:b w:val="false"/>
                <w:bCs w:val="false"/>
                <w:color w:val="1F1A21"/>
                <w:sz w:val="18"/>
                <w:szCs w:val="18"/>
              </w:rPr>
              <w:t xml:space="preserve">A real gap, carried over from the 4 Oct bug audit: listingInputFromFormData() in src/app/admin/actions.ts converts admin numeric fields with Number(...) and never checks for NaN — a malformed entry is accepted rather than rejected at the point of entry.</w:t>
            </w:r>
          </w:p>
        </w:tc>
      </w:tr>
      <w:tr>
        <w:tc>
          <w:tcPr>
            <w:tcW w:type="dxa" w:w="2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6. Recognition rather than recall</w:t>
            </w:r>
          </w:p>
        </w:tc>
        <w:tc>
          <w:tcPr>
            <w:tcW w:type="dxa" w:w="118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The AI Search nav label and the /buy filter bar’s visible chips/dropdowns both favour recognition over memorised syntax. The now-missing Valuation/Selling/Buying/Letting pages mean this can’t be assessed for that content yet.</w:t>
            </w:r>
          </w:p>
        </w:tc>
      </w:tr>
      <w:tr>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7. Flexibility and efficiency of use</w:t>
            </w:r>
          </w:p>
        </w:tc>
        <w:tc>
          <w:tcPr>
            <w:tcW w:type="dxa" w:w="11898"/>
            <w:tcMar>
              <w:top w:type="dxa" w:w="80"/>
              <w:left w:type="dxa" w:w="100"/>
              <w:bottom w:type="dxa" w:w="80"/>
              <w:right w:type="dxa" w:w="100"/>
            </w:tcMar>
            <w:vAlign w:val="center"/>
          </w:tcPr>
          <w:p>
            <w:pPr>
              <w:jc w:val="left"/>
            </w:pPr>
            <w:r>
              <w:rPr>
                <w:b w:val="false"/>
                <w:bCs w:val="false"/>
                <w:color w:val="1F1A21"/>
                <w:sz w:val="18"/>
                <w:szCs w:val="18"/>
              </w:rPr>
              <w:t xml:space="preserve">Genuinely strong: a visitor can either type a natural-language need into AI Search or use /buy’s structured filters for precise control — two paths to the same goal, serving both casual and power users.</w:t>
            </w:r>
          </w:p>
        </w:tc>
      </w:tr>
      <w:tr>
        <w:tc>
          <w:tcPr>
            <w:tcW w:type="dxa" w:w="2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8. Aesthetic and minimalist design</w:t>
            </w:r>
          </w:p>
        </w:tc>
        <w:tc>
          <w:tcPr>
            <w:tcW w:type="dxa" w:w="118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The Editorial Catalogue design system reads as considered rather than templated. One concrete blemish: Lighthouse flagged insufficient colour contrast on the small text-xs bed/bath/reception metadata line on property cards, on all three pages tested.</w:t>
            </w:r>
          </w:p>
        </w:tc>
      </w:tr>
      <w:tr>
        <w:tc>
          <w:tcPr>
            <w:tcW w:type="dxa" w:w="2600"/>
            <w:tcMar>
              <w:top w:type="dxa" w:w="80"/>
              <w:left w:type="dxa" w:w="100"/>
              <w:bottom w:type="dxa" w:w="80"/>
              <w:right w:type="dxa" w:w="100"/>
            </w:tcMar>
            <w:vAlign w:val="center"/>
          </w:tcPr>
          <w:p>
            <w:pPr>
              <w:jc w:val="left"/>
            </w:pPr>
            <w:r>
              <w:rPr>
                <w:b w:val="false"/>
                <w:bCs w:val="false"/>
                <w:color w:val="1F1A21"/>
                <w:sz w:val="18"/>
                <w:szCs w:val="18"/>
              </w:rPr>
              <w:t xml:space="preserve">9. Help recognize, diagnose, recover from errors</w:t>
            </w:r>
          </w:p>
        </w:tc>
        <w:tc>
          <w:tcPr>
            <w:tcW w:type="dxa" w:w="11898"/>
            <w:tcMar>
              <w:top w:type="dxa" w:w="80"/>
              <w:left w:type="dxa" w:w="100"/>
              <w:bottom w:type="dxa" w:w="80"/>
              <w:right w:type="dxa" w:w="100"/>
            </w:tcMar>
            <w:vAlign w:val="center"/>
          </w:tcPr>
          <w:p>
            <w:pPr>
              <w:jc w:val="left"/>
            </w:pPr>
            <w:r>
              <w:rPr>
                <w:b w:val="false"/>
                <w:bCs w:val="false"/>
                <w:color w:val="1F1A21"/>
                <w:sz w:val="18"/>
                <w:szCs w:val="18"/>
              </w:rPr>
              <w:t xml:space="preserve">Weak spot: there is no custom not-found.tsx or error.tsx anywhere in the app, so a mistyped property URL or unhandled runtime error falls through to Next.js’s generic default screen. By contrast, the AI assistant’s own error handling falls back to plain search results if Groq is unreachable — a good example done right elsewhere.</w:t>
            </w:r>
          </w:p>
        </w:tc>
      </w:tr>
      <w:tr>
        <w:tc>
          <w:tcPr>
            <w:tcW w:type="dxa" w:w="2600"/>
            <w:shd w:fill="F6F1E7" w:val="clear"/>
            <w:tcMar>
              <w:top w:type="dxa" w:w="80"/>
              <w:left w:type="dxa" w:w="100"/>
              <w:bottom w:type="dxa" w:w="80"/>
              <w:right w:type="dxa" w:w="100"/>
            </w:tcMar>
            <w:vAlign w:val="center"/>
          </w:tcPr>
          <w:p>
            <w:pPr>
              <w:jc w:val="left"/>
            </w:pPr>
            <w:r>
              <w:rPr>
                <w:b w:val="false"/>
                <w:bCs w:val="false"/>
                <w:color w:val="1F1A21"/>
                <w:sz w:val="18"/>
                <w:szCs w:val="18"/>
              </w:rPr>
              <w:t xml:space="preserve">10. Help and documentation</w:t>
            </w:r>
          </w:p>
        </w:tc>
        <w:tc>
          <w:tcPr>
            <w:tcW w:type="dxa" w:w="11898"/>
            <w:shd w:fill="F6F1E7" w:val="clear"/>
            <w:tcMar>
              <w:top w:type="dxa" w:w="80"/>
              <w:left w:type="dxa" w:w="100"/>
              <w:bottom w:type="dxa" w:w="80"/>
              <w:right w:type="dxa" w:w="100"/>
            </w:tcMar>
            <w:vAlign w:val="center"/>
          </w:tcPr>
          <w:p>
            <w:pPr>
              <w:jc w:val="left"/>
            </w:pPr>
            <w:r>
              <w:rPr>
                <w:b w:val="false"/>
                <w:bCs w:val="false"/>
                <w:color w:val="1F1A21"/>
                <w:sz w:val="18"/>
                <w:szCs w:val="18"/>
              </w:rPr>
              <w:t xml:space="preserve">A genuine, honest regression as of today: the original site’s strongest content asset — the 6-step Buyers Guide with real UK cost figures — has no equivalent route in the new build yet. Explainable by the same Must-Have-first scoping, but worth an answer ready at demo/viva.</w:t>
            </w:r>
          </w:p>
        </w:tc>
      </w:tr>
    </w:tbl>
    <w:p>
      <w:pPr>
        <w:spacing w:after="240" w:before="60"/>
      </w:pPr>
      <w:r>
        <w:rPr>
          <w:i/>
          <w:iCs/>
          <w:color w:val="6B5F66"/>
          <w:sz w:val="18"/>
          <w:szCs w:val="18"/>
        </w:rPr>
        <w:t xml:space="preserve">Table 19.2 — Full heuristic sweep of the new build, independent of the 13 Sept baseline findings.</w:t>
      </w:r>
    </w:p>
    <w:sectPr>
      <w:pgSz w:w="16838" w:h="11906" w:orient="landscape"/>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2026-10-08T13:40:39.266Z</dcterms:created>
  <dcterms:modified xsi:type="dcterms:W3CDTF">2026-10-08T13:40:39.267Z</dcterms:modified>
</cp:coreProperties>
</file>

<file path=docProps/custom.xml><?xml version="1.0" encoding="utf-8"?>
<Properties xmlns="http://schemas.openxmlformats.org/officeDocument/2006/custom-properties" xmlns:vt="http://schemas.openxmlformats.org/officeDocument/2006/docPropsVTypes"/>
</file>