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t>Bualó</w:t>
      </w:r>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(Leg. Nº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(Leg. Nº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(Leg. Nº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(Leg. Nº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r w:rsidRPr="005A4123">
        <w:rPr>
          <w:sz w:val="28"/>
          <w:lang w:val="es-ES"/>
        </w:rPr>
        <w:t>Orchessi</w:t>
      </w:r>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r w:rsidRPr="005A4123">
        <w:rPr>
          <w:sz w:val="28"/>
          <w:lang w:val="es-ES"/>
        </w:rPr>
        <w:t>Pingitore</w:t>
      </w:r>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lastRenderedPageBreak/>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1C729B">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1C729B">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1C729B">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1C729B">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1C729B">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1C729B">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1C729B">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1C729B">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1C729B">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1C729B">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1C729B">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1C729B">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1C729B">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1C729B">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1C729B">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1C729B">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1C729B">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1C729B">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1C729B">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1C729B">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1C729B">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1C729B">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1C729B">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1C729B">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1C729B">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1C729B">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1C729B">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1C729B">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1C729B">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1C729B">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1C729B">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1C729B">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1C729B">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1C729B">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1C729B">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1C729B">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1C729B">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1C729B">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1C729B">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1C729B">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1C729B">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1C729B">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1C729B">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1C729B">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1C729B">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1C729B">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1C729B">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1C729B">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1C729B">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1C729B">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1C729B">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1C729B">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1C729B">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1C729B">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1C729B">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1C729B">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1C729B">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1C729B">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1C729B">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1C729B">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1C729B">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1C729B">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1C729B">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1C729B">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1C729B">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1C729B">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1C729B">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1C729B">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1C729B">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1C729B">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1C729B">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1C729B">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1C729B">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1C729B">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1C729B">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1C729B">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1C729B">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1C729B">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1C729B">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1C729B">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1C729B">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1C729B">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1C729B">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1C729B">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1C729B">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1C729B">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1C729B">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1C729B">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1C729B">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1C729B">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1C729B">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1C729B">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1C729B">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1C729B">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1C729B">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1C729B">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1C729B">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1C729B">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1C729B">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1C729B">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1C729B">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1C729B">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1C729B">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1C729B">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1C729B">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1C729B">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1C729B">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1C729B">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1C729B">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1C729B">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1C729B"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rsidRPr="00180F73">
              <w:rPr>
                <w:lang w:val="en-US"/>
              </w:rPr>
              <w:t>Circuito</w:t>
            </w:r>
            <w:r w:rsidR="001710AA">
              <w:rPr>
                <w:lang w:val="en-US"/>
              </w:rPr>
              <w:t xml:space="preserve"> </w:t>
            </w:r>
            <w:r w:rsidRPr="00180F73">
              <w:rPr>
                <w:lang w:val="en-US"/>
              </w:rPr>
              <w:t>Impreso</w:t>
            </w:r>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r w:rsidRPr="00EA4018">
              <w:rPr>
                <w:i/>
                <w:iCs/>
              </w:rPr>
              <w:t>Power Over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lastRenderedPageBreak/>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lastRenderedPageBreak/>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IoT (</w:t>
            </w:r>
            <w:r w:rsidR="00C660E3" w:rsidRPr="00C660E3">
              <w:rPr>
                <w:rStyle w:val="apple-converted-space"/>
                <w:i/>
                <w:iCs/>
              </w:rPr>
              <w:t>Internet Of Things</w:t>
            </w:r>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r>
              <w:rPr>
                <w:rFonts w:asciiTheme="minorHAnsi" w:hAnsiTheme="minorHAnsi"/>
                <w:sz w:val="20"/>
              </w:rPr>
              <w:t>Power Over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Volatilidad del mercado interno: esto está potenciado por el ítem anterior.</w:t>
      </w:r>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Campiutti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lastRenderedPageBreak/>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Heading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Heading3"/>
      </w:pPr>
      <w:bookmarkStart w:id="18" w:name="_Toc43575706"/>
      <w:r>
        <w:lastRenderedPageBreak/>
        <w:t>Requerimientos</w:t>
      </w:r>
      <w:r w:rsidR="001710AA">
        <w:t xml:space="preserve"> </w:t>
      </w:r>
      <w:r>
        <w:t>finales</w:t>
      </w:r>
      <w:r w:rsidR="001710AA">
        <w:t xml:space="preserve"> </w:t>
      </w:r>
      <w:r>
        <w:t>para</w:t>
      </w:r>
      <w:r w:rsidR="001710AA">
        <w:t xml:space="preserve"> </w:t>
      </w:r>
      <w:r>
        <w:t>trazabilidad</w:t>
      </w:r>
      <w:bookmarkEnd w:id="18"/>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r w:rsidRPr="00D300ED">
              <w:t>xxxx:</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18ABF29A" w14:textId="2FE34856" w:rsidR="00FF38CB" w:rsidRDefault="00FF38CB" w:rsidP="00FF38CB">
      <w:pPr>
        <w:rPr>
          <w:lang w:val="es-ES"/>
        </w:rPr>
      </w:pPr>
      <w:r w:rsidRPr="00FF38CB">
        <w:rPr>
          <w:noProof/>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AFEFB8E" w14:textId="77777777" w:rsidR="00FF38CB" w:rsidRPr="00FF38CB" w:rsidRDefault="00FF38CB" w:rsidP="00FF38CB">
      <w:pPr>
        <w:rPr>
          <w:lang w:val="es-ES"/>
        </w:rPr>
      </w:pPr>
    </w:p>
    <w:p w14:paraId="35F513B3" w14:textId="77777777" w:rsidR="00B95429" w:rsidRPr="00D300ED" w:rsidRDefault="00B95429" w:rsidP="00FF38CB">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16017C6B" w14:textId="60E6C79C" w:rsidR="00F834D3" w:rsidRDefault="00D300ED" w:rsidP="00D300ED">
      <w:pPr>
        <w:pStyle w:val="Captio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lastRenderedPageBreak/>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r w:rsidRPr="00E7139F">
              <w:rPr>
                <w:i/>
              </w:rPr>
              <w:t>PKA.1K.303.CYKC35E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(masa/ground)</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lastRenderedPageBreak/>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Pr="00561A45">
              <w:rPr>
                <w:color w:val="FF0000"/>
                <w:highlight w:val="yellow"/>
              </w:rPr>
              <w:t>2</w:t>
            </w:r>
            <w:r w:rsidR="00561A45" w:rsidRPr="00561A45">
              <w:rPr>
                <w:color w:val="FF0000"/>
                <w:highlight w:val="yellow"/>
              </w:rPr>
              <w:t>?</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4" w:name="_Toc43575712"/>
      <w:r>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lastRenderedPageBreak/>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(Fact Ec)</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(Fact Ec)</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r w:rsidRPr="00B22693">
              <w:t>Expenditure</w:t>
            </w:r>
            <w:r>
              <w:t xml:space="preserve"> </w:t>
            </w:r>
            <w:r w:rsidRPr="00B22693">
              <w:t>-CAPEX)</w:t>
            </w:r>
          </w:p>
        </w:tc>
        <w:tc>
          <w:tcPr>
            <w:tcW w:w="979" w:type="dxa"/>
          </w:tcPr>
          <w:p w14:paraId="04E84C9D" w14:textId="1B06559E" w:rsidR="00E6746D" w:rsidRPr="00B22693" w:rsidRDefault="00E6746D" w:rsidP="00E6746D">
            <w:pPr>
              <w:keepNext/>
            </w:pPr>
            <w:r>
              <w:t>REQ-45</w:t>
            </w:r>
            <w:r>
              <w:br/>
              <w:t>(Fact Ec)</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(Operating</w:t>
            </w:r>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(Fact Ec)</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r w:rsidRPr="00B22693">
              <w:t>Cost</w:t>
            </w:r>
            <w:r>
              <w:t xml:space="preserve"> </w:t>
            </w:r>
            <w:r w:rsidRPr="00B22693">
              <w:t>of</w:t>
            </w:r>
            <w:r>
              <w:t xml:space="preserve"> </w:t>
            </w:r>
            <w:r w:rsidRPr="00B22693">
              <w:t>Ownership</w:t>
            </w:r>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(Fact Ec)</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lastRenderedPageBreak/>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(Fact Ec)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(Fact Ec)</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En caso de utilizar SW o FW, deberá ser posible para técnicos calificados realizar actualizaciones del mismo.</w:t>
            </w:r>
          </w:p>
        </w:tc>
        <w:tc>
          <w:tcPr>
            <w:tcW w:w="975" w:type="dxa"/>
          </w:tcPr>
          <w:p w14:paraId="4082ED75" w14:textId="58314684" w:rsidR="00F041F7" w:rsidRPr="00B22693" w:rsidRDefault="00E6746D" w:rsidP="00F041F7">
            <w:pPr>
              <w:keepNext/>
            </w:pPr>
            <w:r>
              <w:t>REQ-46</w:t>
            </w:r>
            <w:r>
              <w:br/>
              <w:t>(Fact Ec)</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lastRenderedPageBreak/>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r w:rsidRPr="009B7FE6">
              <w:t>mA.</w:t>
            </w:r>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r>
        <w:t>Tests</w:t>
      </w:r>
      <w:bookmarkEnd w:id="47"/>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r w:rsidR="00DE13C1">
              <w:t>trigger</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r w:rsidR="00DE13C1">
              <w:t>tests</w:t>
            </w:r>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lastRenderedPageBreak/>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Tests</w:t>
      </w:r>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r w:rsidR="004C5068">
              <w:rPr>
                <w:b/>
                <w:lang w:val="en-US"/>
              </w:rPr>
              <w:t>Sección</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r w:rsidRPr="001C4D2F">
              <w:rPr>
                <w:lang w:val="en-US"/>
              </w:rPr>
              <w:t>Encuesta</w:t>
            </w:r>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r w:rsidRPr="001C4D2F">
              <w:rPr>
                <w:i/>
                <w:lang w:val="en-US"/>
              </w:rPr>
              <w:t>Portabilidad</w:t>
            </w:r>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1C729B"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r w:rsidRPr="001C4D2F">
              <w:rPr>
                <w:lang w:val="en-US"/>
              </w:rPr>
              <w:t>Encuesta</w:t>
            </w:r>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r w:rsidRPr="001C4D2F">
              <w:rPr>
                <w:i/>
                <w:lang w:val="en-US"/>
              </w:rPr>
              <w:t>requiere</w:t>
            </w:r>
          </w:p>
        </w:tc>
      </w:tr>
    </w:tbl>
    <w:p w14:paraId="75F00792" w14:textId="29EABC59"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lastRenderedPageBreak/>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w:lastRenderedPageBreak/>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1C729B" w:rsidRDefault="001C729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1C729B" w:rsidRDefault="001C729B" w:rsidP="00E6358D">
                              <w:pPr>
                                <w:pStyle w:val="NormalWeb"/>
                                <w:spacing w:before="0" w:beforeAutospacing="0" w:after="0" w:afterAutospacing="0"/>
                              </w:pPr>
                              <w:r>
                                <w:rPr>
                                  <w:rFonts w:ascii="Calibri" w:hAnsi="Calibri"/>
                                  <w:color w:val="000000"/>
                                  <w:kern w:val="24"/>
                                  <w:sz w:val="10"/>
                                  <w:szCs w:val="10"/>
                                </w:rPr>
                                <w:t>#AMB</w:t>
                              </w:r>
                            </w:p>
                            <w:p w14:paraId="5A099C95" w14:textId="77777777" w:rsidR="001C729B" w:rsidRDefault="001C729B"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1C729B" w:rsidRDefault="001C729B" w:rsidP="00E6358D">
                              <w:pPr>
                                <w:pStyle w:val="NormalWeb"/>
                                <w:spacing w:before="0" w:beforeAutospacing="0" w:after="0" w:afterAutospacing="0"/>
                              </w:pPr>
                              <w:r>
                                <w:rPr>
                                  <w:rFonts w:ascii="Calibri" w:hAnsi="Calibri"/>
                                  <w:color w:val="000000"/>
                                  <w:kern w:val="24"/>
                                  <w:sz w:val="10"/>
                                  <w:szCs w:val="10"/>
                                </w:rPr>
                                <w:t>#VIN</w:t>
                              </w:r>
                            </w:p>
                            <w:p w14:paraId="5D700FFD"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1C729B" w:rsidRDefault="001C729B" w:rsidP="00E6358D">
                              <w:pPr>
                                <w:pStyle w:val="NormalWeb"/>
                                <w:spacing w:before="0" w:beforeAutospacing="0" w:after="0" w:afterAutospacing="0"/>
                              </w:pPr>
                              <w:r>
                                <w:rPr>
                                  <w:rFonts w:ascii="Calibri" w:hAnsi="Calibri"/>
                                  <w:color w:val="000000"/>
                                  <w:kern w:val="24"/>
                                  <w:sz w:val="10"/>
                                  <w:szCs w:val="10"/>
                                </w:rPr>
                                <w:t>#DIA</w:t>
                              </w:r>
                            </w:p>
                            <w:p w14:paraId="50951EA9" w14:textId="77777777" w:rsidR="001C729B" w:rsidRDefault="001C729B"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1C729B" w:rsidRDefault="001C729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1C729B" w:rsidRDefault="001C729B"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1C729B" w:rsidRDefault="001C729B" w:rsidP="00E6358D">
                              <w:pPr>
                                <w:pStyle w:val="NormalWeb"/>
                                <w:spacing w:before="0" w:beforeAutospacing="0" w:after="0" w:afterAutospacing="0"/>
                              </w:pPr>
                              <w:r>
                                <w:rPr>
                                  <w:rFonts w:ascii="Calibri" w:hAnsi="Calibri"/>
                                  <w:color w:val="000000"/>
                                  <w:kern w:val="24"/>
                                  <w:sz w:val="10"/>
                                  <w:szCs w:val="10"/>
                                </w:rPr>
                                <w:t>#VOU</w:t>
                              </w:r>
                            </w:p>
                            <w:p w14:paraId="5D0BA449" w14:textId="3E466F7D" w:rsidR="001C729B" w:rsidRDefault="001C729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1C729B" w:rsidRDefault="001C729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1C729B" w:rsidRDefault="001C729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1C729B" w:rsidRDefault="001C729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1C729B" w:rsidRDefault="001C729B" w:rsidP="00E6358D">
                        <w:pPr>
                          <w:pStyle w:val="NormalWeb"/>
                          <w:spacing w:before="0" w:beforeAutospacing="0" w:after="0" w:afterAutospacing="0"/>
                        </w:pPr>
                        <w:r>
                          <w:rPr>
                            <w:rFonts w:ascii="Calibri" w:hAnsi="Calibri"/>
                            <w:color w:val="000000"/>
                            <w:kern w:val="24"/>
                            <w:sz w:val="10"/>
                            <w:szCs w:val="10"/>
                          </w:rPr>
                          <w:t>#AMB</w:t>
                        </w:r>
                      </w:p>
                      <w:p w14:paraId="5A099C95" w14:textId="77777777" w:rsidR="001C729B" w:rsidRDefault="001C729B"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1C729B" w:rsidRDefault="001C729B" w:rsidP="00E6358D">
                        <w:pPr>
                          <w:pStyle w:val="NormalWeb"/>
                          <w:spacing w:before="0" w:beforeAutospacing="0" w:after="0" w:afterAutospacing="0"/>
                        </w:pPr>
                        <w:r>
                          <w:rPr>
                            <w:rFonts w:ascii="Calibri" w:hAnsi="Calibri"/>
                            <w:color w:val="000000"/>
                            <w:kern w:val="24"/>
                            <w:sz w:val="10"/>
                            <w:szCs w:val="10"/>
                          </w:rPr>
                          <w:t>#VIN</w:t>
                        </w:r>
                      </w:p>
                      <w:p w14:paraId="5D700FFD"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1C729B" w:rsidRDefault="001C729B" w:rsidP="00E6358D">
                        <w:pPr>
                          <w:pStyle w:val="NormalWeb"/>
                          <w:spacing w:before="0" w:beforeAutospacing="0" w:after="0" w:afterAutospacing="0"/>
                        </w:pPr>
                        <w:r>
                          <w:rPr>
                            <w:rFonts w:ascii="Calibri" w:hAnsi="Calibri"/>
                            <w:color w:val="000000"/>
                            <w:kern w:val="24"/>
                            <w:sz w:val="10"/>
                            <w:szCs w:val="10"/>
                          </w:rPr>
                          <w:t>#DIA</w:t>
                        </w:r>
                      </w:p>
                      <w:p w14:paraId="50951EA9" w14:textId="77777777" w:rsidR="001C729B" w:rsidRDefault="001C729B"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1C729B" w:rsidRDefault="001C729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1C729B" w:rsidRDefault="001C729B"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1C729B" w:rsidRDefault="001C729B" w:rsidP="00E6358D">
                        <w:pPr>
                          <w:pStyle w:val="NormalWeb"/>
                          <w:spacing w:before="0" w:beforeAutospacing="0" w:after="0" w:afterAutospacing="0"/>
                        </w:pPr>
                        <w:r>
                          <w:rPr>
                            <w:rFonts w:ascii="Calibri" w:hAnsi="Calibri"/>
                            <w:color w:val="000000"/>
                            <w:kern w:val="24"/>
                            <w:sz w:val="10"/>
                            <w:szCs w:val="10"/>
                          </w:rPr>
                          <w:t>#VOU</w:t>
                        </w:r>
                      </w:p>
                      <w:p w14:paraId="5D0BA449" w14:textId="3E466F7D" w:rsidR="001C729B" w:rsidRDefault="001C729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1C729B" w:rsidRDefault="001C729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1C729B" w:rsidRDefault="001C729B"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1C729B" w:rsidRDefault="001C729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1C729B" w:rsidRDefault="001C729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1C729B" w:rsidRDefault="001C729B"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lastRenderedPageBreak/>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 xml:space="preserve">Determinación de costos variables (Bill of Materials, costo de empaquetado y transporte si corresponde. Para grandes volúmenes de producción, el tiempo de testeo o verificación de calidad del producto se </w:t>
      </w:r>
      <w:r>
        <w:lastRenderedPageBreak/>
        <w:t>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r w:rsidRPr="0019044F">
        <w:t>circuitales</w:t>
      </w:r>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Bill of Materials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6"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6"/>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7"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7"/>
    </w:p>
    <w:p w14:paraId="1B367B39" w14:textId="12EF527B" w:rsidR="00204DC0" w:rsidRPr="00204DC0" w:rsidRDefault="00204DC0" w:rsidP="00180F73">
      <w:pPr>
        <w:pStyle w:val="Heading2"/>
      </w:pPr>
      <w:bookmarkStart w:id="98"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8"/>
    </w:p>
    <w:p w14:paraId="1421EA7D" w14:textId="0EB7940A" w:rsidR="00204DC0" w:rsidRDefault="00204DC0" w:rsidP="00180F73">
      <w:pPr>
        <w:pStyle w:val="Heading2"/>
      </w:pPr>
      <w:bookmarkStart w:id="99"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99"/>
    </w:p>
    <w:p w14:paraId="742D7A66" w14:textId="77777777" w:rsidR="00832E04" w:rsidRDefault="00832E04" w:rsidP="00180F73">
      <w:pPr>
        <w:rPr>
          <w:lang w:val="es-ES"/>
        </w:rPr>
      </w:pPr>
    </w:p>
    <w:p w14:paraId="0FBD95B7" w14:textId="66E43214" w:rsidR="00C94B71" w:rsidRDefault="00BB3719" w:rsidP="00C94B71">
      <w:pPr>
        <w:pStyle w:val="Heading1"/>
      </w:pPr>
      <w:bookmarkStart w:id="100" w:name="_Toc43575762"/>
      <w:r>
        <w:lastRenderedPageBreak/>
        <w:t>Anexos</w:t>
      </w:r>
      <w:r w:rsidR="001710AA">
        <w:t xml:space="preserve"> </w:t>
      </w:r>
      <w:r w:rsidR="00C94B71" w:rsidRPr="00204DC0">
        <w:t>Técnicos</w:t>
      </w:r>
      <w:bookmarkEnd w:id="100"/>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1" w:name="_Toc43575763"/>
      <w:r>
        <w:t>Esquemáticos</w:t>
      </w:r>
      <w:bookmarkEnd w:id="101"/>
    </w:p>
    <w:p w14:paraId="0FD98946" w14:textId="12677943" w:rsidR="00C94B71" w:rsidRPr="00204DC0" w:rsidRDefault="00BB3719" w:rsidP="00C94B71">
      <w:pPr>
        <w:pStyle w:val="Heading2"/>
      </w:pPr>
      <w:bookmarkStart w:id="102" w:name="_Toc43575764"/>
      <w:r>
        <w:t>Planos</w:t>
      </w:r>
      <w:r w:rsidR="001710AA">
        <w:t xml:space="preserve"> </w:t>
      </w:r>
      <w:r>
        <w:t>de</w:t>
      </w:r>
      <w:r w:rsidR="001710AA">
        <w:t xml:space="preserve"> </w:t>
      </w:r>
      <w:r>
        <w:t>PCB</w:t>
      </w:r>
      <w:bookmarkEnd w:id="102"/>
    </w:p>
    <w:p w14:paraId="2773F30F" w14:textId="3F3F4381" w:rsidR="00C94B71" w:rsidRPr="00204DC0" w:rsidRDefault="00C94B71" w:rsidP="00C94B71">
      <w:pPr>
        <w:pStyle w:val="Heading2"/>
      </w:pPr>
      <w:bookmarkStart w:id="103"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3"/>
    </w:p>
    <w:p w14:paraId="26405BDF" w14:textId="2565982E" w:rsidR="00C94B71" w:rsidRPr="00204DC0" w:rsidRDefault="00C94B71" w:rsidP="00C94B71">
      <w:pPr>
        <w:pStyle w:val="Heading2"/>
      </w:pPr>
      <w:bookmarkStart w:id="104" w:name="_Toc43575766"/>
      <w:r w:rsidRPr="00204DC0">
        <w:t>Códigos</w:t>
      </w:r>
      <w:r w:rsidR="001710AA">
        <w:t xml:space="preserve"> </w:t>
      </w:r>
      <w:r w:rsidRPr="00204DC0">
        <w:t>de</w:t>
      </w:r>
      <w:r w:rsidR="001710AA">
        <w:t xml:space="preserve"> </w:t>
      </w:r>
      <w:r w:rsidR="00BB3719">
        <w:t>S</w:t>
      </w:r>
      <w:r w:rsidRPr="00204DC0">
        <w:t>oftware</w:t>
      </w:r>
      <w:bookmarkEnd w:id="104"/>
    </w:p>
    <w:p w14:paraId="4472616D" w14:textId="2C32D7CA" w:rsidR="00C94B71" w:rsidRPr="00204DC0" w:rsidRDefault="00C94B71" w:rsidP="00C94B71">
      <w:pPr>
        <w:pStyle w:val="Heading2"/>
      </w:pPr>
      <w:bookmarkStart w:id="105"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5"/>
    </w:p>
    <w:p w14:paraId="73107114" w14:textId="25D5C120" w:rsidR="00C94B71" w:rsidRDefault="00C94B71" w:rsidP="00C94B71">
      <w:pPr>
        <w:pStyle w:val="Heading2"/>
      </w:pPr>
      <w:bookmarkStart w:id="106"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6"/>
    </w:p>
    <w:p w14:paraId="30190B2A" w14:textId="58AC78B4" w:rsidR="00BB3719" w:rsidRDefault="00BB3719" w:rsidP="00BB3719">
      <w:pPr>
        <w:pStyle w:val="Heading2"/>
      </w:pPr>
      <w:bookmarkStart w:id="107" w:name="_Toc43575769"/>
      <w:r>
        <w:t>Otra</w:t>
      </w:r>
      <w:r w:rsidR="001710AA">
        <w:t xml:space="preserve"> </w:t>
      </w:r>
      <w:r>
        <w:t>Documentación</w:t>
      </w:r>
      <w:r w:rsidR="001710AA">
        <w:t xml:space="preserve"> </w:t>
      </w:r>
      <w:r>
        <w:t>Técnica</w:t>
      </w:r>
      <w:bookmarkEnd w:id="107"/>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C9F4E" w14:textId="77777777" w:rsidR="006E0A25" w:rsidRDefault="006E0A25" w:rsidP="00A45553">
      <w:pPr>
        <w:spacing w:before="0" w:after="0"/>
      </w:pPr>
      <w:r>
        <w:separator/>
      </w:r>
    </w:p>
    <w:p w14:paraId="3F983AD1" w14:textId="77777777" w:rsidR="006E0A25" w:rsidRDefault="006E0A25"/>
    <w:p w14:paraId="4E1548B4" w14:textId="77777777" w:rsidR="006E0A25" w:rsidRDefault="006E0A25" w:rsidP="001710AA"/>
  </w:endnote>
  <w:endnote w:type="continuationSeparator" w:id="0">
    <w:p w14:paraId="208023CE" w14:textId="77777777" w:rsidR="006E0A25" w:rsidRDefault="006E0A25" w:rsidP="00A45553">
      <w:pPr>
        <w:spacing w:before="0" w:after="0"/>
      </w:pPr>
      <w:r>
        <w:continuationSeparator/>
      </w:r>
    </w:p>
    <w:p w14:paraId="6EEA4E08" w14:textId="77777777" w:rsidR="006E0A25" w:rsidRDefault="006E0A25"/>
    <w:p w14:paraId="2DC06B97" w14:textId="77777777" w:rsidR="006E0A25" w:rsidRDefault="006E0A25"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1C729B"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1C729B" w:rsidRDefault="001C729B">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1C729B" w:rsidRDefault="001C729B">
          <w:pPr>
            <w:pStyle w:val="Header"/>
            <w:tabs>
              <w:tab w:val="clear" w:pos="4680"/>
              <w:tab w:val="clear" w:pos="9360"/>
            </w:tabs>
            <w:jc w:val="right"/>
            <w:rPr>
              <w:caps/>
              <w:sz w:val="18"/>
            </w:rPr>
          </w:pPr>
        </w:p>
      </w:tc>
    </w:tr>
    <w:tr w:rsidR="001C729B" w14:paraId="33DB912D" w14:textId="77777777" w:rsidTr="00BB3719">
      <w:trPr>
        <w:jc w:val="center"/>
      </w:trPr>
      <w:tc>
        <w:tcPr>
          <w:tcW w:w="5103" w:type="dxa"/>
          <w:shd w:val="clear" w:color="auto" w:fill="auto"/>
          <w:vAlign w:val="center"/>
        </w:tcPr>
        <w:p w14:paraId="66B5C501" w14:textId="3812394A" w:rsidR="001C729B" w:rsidRDefault="001C729B"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9B53F9" w:rsidRPr="009B53F9">
            <w:rPr>
              <w:b/>
              <w:bCs/>
              <w:caps/>
              <w:noProof/>
              <w:color w:val="808080" w:themeColor="background1" w:themeShade="80"/>
              <w:sz w:val="18"/>
              <w:szCs w:val="18"/>
              <w:lang w:val="es-ES"/>
            </w:rPr>
            <w:t>3</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9B53F9">
            <w:rPr>
              <w:caps/>
              <w:color w:val="808080" w:themeColor="background1" w:themeShade="80"/>
              <w:sz w:val="18"/>
              <w:szCs w:val="18"/>
            </w:rPr>
            <w:fldChar w:fldCharType="separate"/>
          </w:r>
          <w:r w:rsidR="009B53F9">
            <w:rPr>
              <w:caps/>
              <w:noProof/>
              <w:color w:val="808080" w:themeColor="background1" w:themeShade="80"/>
              <w:sz w:val="18"/>
              <w:szCs w:val="18"/>
            </w:rPr>
            <w:t>Definición de Producto</w:t>
          </w:r>
          <w:r>
            <w:rPr>
              <w:caps/>
              <w:color w:val="808080" w:themeColor="background1" w:themeShade="80"/>
              <w:sz w:val="18"/>
              <w:szCs w:val="18"/>
            </w:rPr>
            <w:fldChar w:fldCharType="end"/>
          </w:r>
        </w:p>
      </w:tc>
      <w:tc>
        <w:tcPr>
          <w:tcW w:w="4111" w:type="dxa"/>
          <w:shd w:val="clear" w:color="auto" w:fill="auto"/>
          <w:vAlign w:val="center"/>
        </w:tcPr>
        <w:p w14:paraId="6653B1DE" w14:textId="1A193EAA" w:rsidR="001C729B" w:rsidRDefault="001C729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1C729B" w:rsidRDefault="001C729B"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16D5D" w14:textId="77777777" w:rsidR="006E0A25" w:rsidRPr="00BF6454" w:rsidRDefault="006E0A25" w:rsidP="00A45553">
      <w:pPr>
        <w:spacing w:before="0" w:after="0"/>
        <w:rPr>
          <w:vanish/>
        </w:rPr>
      </w:pPr>
      <w:r w:rsidRPr="00BF6454">
        <w:rPr>
          <w:vanish/>
        </w:rPr>
        <w:separator/>
      </w:r>
    </w:p>
    <w:p w14:paraId="1E3D7489" w14:textId="77777777" w:rsidR="006E0A25" w:rsidRDefault="006E0A25"/>
    <w:p w14:paraId="36AC66E4" w14:textId="77777777" w:rsidR="006E0A25" w:rsidRDefault="006E0A25" w:rsidP="001710AA"/>
  </w:footnote>
  <w:footnote w:type="continuationSeparator" w:id="0">
    <w:p w14:paraId="408C0930" w14:textId="77777777" w:rsidR="006E0A25" w:rsidRPr="00BF6454" w:rsidRDefault="006E0A25" w:rsidP="00A45553">
      <w:pPr>
        <w:spacing w:before="0" w:after="0"/>
        <w:rPr>
          <w:vanish/>
        </w:rPr>
      </w:pPr>
      <w:r w:rsidRPr="00BF6454">
        <w:rPr>
          <w:vanish/>
        </w:rPr>
        <w:continuationSeparator/>
      </w:r>
    </w:p>
    <w:p w14:paraId="57494483" w14:textId="77777777" w:rsidR="006E0A25" w:rsidRDefault="006E0A25"/>
    <w:p w14:paraId="30D639C5" w14:textId="77777777" w:rsidR="006E0A25" w:rsidRDefault="006E0A25" w:rsidP="001710AA"/>
  </w:footnote>
  <w:footnote w:type="continuationNotice" w:id="1">
    <w:p w14:paraId="4A0B1527" w14:textId="77777777" w:rsidR="006E0A25" w:rsidRPr="00BF6454" w:rsidRDefault="006E0A25">
      <w:pPr>
        <w:spacing w:before="0" w:after="0"/>
        <w:rPr>
          <w:vanish/>
        </w:rPr>
      </w:pPr>
    </w:p>
    <w:p w14:paraId="263754BB" w14:textId="77777777" w:rsidR="006E0A25" w:rsidRDefault="006E0A25"/>
    <w:p w14:paraId="33BA626D" w14:textId="77777777" w:rsidR="006E0A25" w:rsidRDefault="006E0A25"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1C729B" w:rsidRPr="001710AA" w:rsidRDefault="001C729B"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1C729B" w:rsidRPr="00074E87" w:rsidRDefault="001C729B">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0"/>
  </w:num>
  <w:num w:numId="4">
    <w:abstractNumId w:val="20"/>
  </w:num>
  <w:num w:numId="5">
    <w:abstractNumId w:val="6"/>
  </w:num>
  <w:num w:numId="6">
    <w:abstractNumId w:val="16"/>
  </w:num>
  <w:num w:numId="7">
    <w:abstractNumId w:val="4"/>
  </w:num>
  <w:num w:numId="8">
    <w:abstractNumId w:val="1"/>
  </w:num>
  <w:num w:numId="9">
    <w:abstractNumId w:val="17"/>
  </w:num>
  <w:num w:numId="10">
    <w:abstractNumId w:val="9"/>
  </w:num>
  <w:num w:numId="11">
    <w:abstractNumId w:val="18"/>
  </w:num>
  <w:num w:numId="12">
    <w:abstractNumId w:val="18"/>
  </w:num>
  <w:num w:numId="13">
    <w:abstractNumId w:val="22"/>
  </w:num>
  <w:num w:numId="14">
    <w:abstractNumId w:val="21"/>
  </w:num>
  <w:num w:numId="15">
    <w:abstractNumId w:val="14"/>
  </w:num>
  <w:num w:numId="16">
    <w:abstractNumId w:val="15"/>
  </w:num>
  <w:num w:numId="17">
    <w:abstractNumId w:val="7"/>
  </w:num>
  <w:num w:numId="1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19"/>
  </w:num>
  <w:num w:numId="26">
    <w:abstractNumId w:val="2"/>
  </w:num>
  <w:num w:numId="27">
    <w:abstractNumId w:val="0"/>
  </w:num>
  <w:num w:numId="28">
    <w:abstractNumId w:val="12"/>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11E3D"/>
    <w:rsid w:val="00125622"/>
    <w:rsid w:val="00130DD3"/>
    <w:rsid w:val="0014566A"/>
    <w:rsid w:val="001552D1"/>
    <w:rsid w:val="00170FB2"/>
    <w:rsid w:val="001710AA"/>
    <w:rsid w:val="00180F73"/>
    <w:rsid w:val="00183A34"/>
    <w:rsid w:val="00183DE2"/>
    <w:rsid w:val="0019044F"/>
    <w:rsid w:val="001A053C"/>
    <w:rsid w:val="001A575D"/>
    <w:rsid w:val="001B34B5"/>
    <w:rsid w:val="001C4D2F"/>
    <w:rsid w:val="001C729B"/>
    <w:rsid w:val="001E3688"/>
    <w:rsid w:val="001F7A65"/>
    <w:rsid w:val="00204DC0"/>
    <w:rsid w:val="002133F4"/>
    <w:rsid w:val="002166F1"/>
    <w:rsid w:val="002206E0"/>
    <w:rsid w:val="00220CE6"/>
    <w:rsid w:val="00222496"/>
    <w:rsid w:val="00222DF2"/>
    <w:rsid w:val="0022381F"/>
    <w:rsid w:val="00232130"/>
    <w:rsid w:val="00242E93"/>
    <w:rsid w:val="002678AE"/>
    <w:rsid w:val="00267EC6"/>
    <w:rsid w:val="002730D3"/>
    <w:rsid w:val="002748D2"/>
    <w:rsid w:val="002871C5"/>
    <w:rsid w:val="00297953"/>
    <w:rsid w:val="002A0216"/>
    <w:rsid w:val="002A2D94"/>
    <w:rsid w:val="002B0083"/>
    <w:rsid w:val="002D4391"/>
    <w:rsid w:val="002E1241"/>
    <w:rsid w:val="002E5720"/>
    <w:rsid w:val="002F3C96"/>
    <w:rsid w:val="00302F38"/>
    <w:rsid w:val="00310FBC"/>
    <w:rsid w:val="00315224"/>
    <w:rsid w:val="003217FF"/>
    <w:rsid w:val="00325F25"/>
    <w:rsid w:val="00327B7B"/>
    <w:rsid w:val="00334EF8"/>
    <w:rsid w:val="00341BC8"/>
    <w:rsid w:val="003651EB"/>
    <w:rsid w:val="00370743"/>
    <w:rsid w:val="0039331F"/>
    <w:rsid w:val="003A1CD1"/>
    <w:rsid w:val="003B0FBE"/>
    <w:rsid w:val="003B52AE"/>
    <w:rsid w:val="003B74AE"/>
    <w:rsid w:val="003E28B7"/>
    <w:rsid w:val="003E3D94"/>
    <w:rsid w:val="003F7C4A"/>
    <w:rsid w:val="004018E6"/>
    <w:rsid w:val="00407CAD"/>
    <w:rsid w:val="00411F55"/>
    <w:rsid w:val="0041348D"/>
    <w:rsid w:val="004207BE"/>
    <w:rsid w:val="00423E22"/>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90B2E"/>
    <w:rsid w:val="004958BC"/>
    <w:rsid w:val="004A26FF"/>
    <w:rsid w:val="004A3DC8"/>
    <w:rsid w:val="004C28FF"/>
    <w:rsid w:val="004C2AC2"/>
    <w:rsid w:val="004C5068"/>
    <w:rsid w:val="004F234D"/>
    <w:rsid w:val="004F5717"/>
    <w:rsid w:val="00523059"/>
    <w:rsid w:val="0052680B"/>
    <w:rsid w:val="00533BF2"/>
    <w:rsid w:val="00535345"/>
    <w:rsid w:val="005440C7"/>
    <w:rsid w:val="0056048D"/>
    <w:rsid w:val="00561A45"/>
    <w:rsid w:val="0056691C"/>
    <w:rsid w:val="00585E0F"/>
    <w:rsid w:val="00592829"/>
    <w:rsid w:val="00594675"/>
    <w:rsid w:val="005971E2"/>
    <w:rsid w:val="005A2922"/>
    <w:rsid w:val="005A4123"/>
    <w:rsid w:val="005A76E9"/>
    <w:rsid w:val="005A7DE4"/>
    <w:rsid w:val="005D4D34"/>
    <w:rsid w:val="005D7FF7"/>
    <w:rsid w:val="005E4AB3"/>
    <w:rsid w:val="005F56AD"/>
    <w:rsid w:val="0060223D"/>
    <w:rsid w:val="00607A60"/>
    <w:rsid w:val="00612A3F"/>
    <w:rsid w:val="00616B62"/>
    <w:rsid w:val="00636D77"/>
    <w:rsid w:val="00660E0D"/>
    <w:rsid w:val="00670632"/>
    <w:rsid w:val="00670B3B"/>
    <w:rsid w:val="00677440"/>
    <w:rsid w:val="006A6AC2"/>
    <w:rsid w:val="006B3EF3"/>
    <w:rsid w:val="006B62D8"/>
    <w:rsid w:val="006E0A25"/>
    <w:rsid w:val="006E7A3A"/>
    <w:rsid w:val="006F03A5"/>
    <w:rsid w:val="0070067D"/>
    <w:rsid w:val="00701EEE"/>
    <w:rsid w:val="00704184"/>
    <w:rsid w:val="0071778D"/>
    <w:rsid w:val="007215EE"/>
    <w:rsid w:val="00730099"/>
    <w:rsid w:val="00734CFC"/>
    <w:rsid w:val="007519DF"/>
    <w:rsid w:val="00751C8C"/>
    <w:rsid w:val="007526DB"/>
    <w:rsid w:val="007604E4"/>
    <w:rsid w:val="00764B84"/>
    <w:rsid w:val="007711CB"/>
    <w:rsid w:val="00786F91"/>
    <w:rsid w:val="0079239D"/>
    <w:rsid w:val="007A01F2"/>
    <w:rsid w:val="007A7E8B"/>
    <w:rsid w:val="007D274C"/>
    <w:rsid w:val="007D6AD1"/>
    <w:rsid w:val="007E1D29"/>
    <w:rsid w:val="007E4DB8"/>
    <w:rsid w:val="007E70E4"/>
    <w:rsid w:val="007F5D2A"/>
    <w:rsid w:val="00801F72"/>
    <w:rsid w:val="008029C3"/>
    <w:rsid w:val="008162BA"/>
    <w:rsid w:val="0082179E"/>
    <w:rsid w:val="00822E32"/>
    <w:rsid w:val="00832E04"/>
    <w:rsid w:val="00833773"/>
    <w:rsid w:val="008363A0"/>
    <w:rsid w:val="00840157"/>
    <w:rsid w:val="00860DD2"/>
    <w:rsid w:val="008625CD"/>
    <w:rsid w:val="0086601D"/>
    <w:rsid w:val="00866E91"/>
    <w:rsid w:val="00872E71"/>
    <w:rsid w:val="0087376F"/>
    <w:rsid w:val="00882D9B"/>
    <w:rsid w:val="008A0F2A"/>
    <w:rsid w:val="008C6AD5"/>
    <w:rsid w:val="008E1CE7"/>
    <w:rsid w:val="00907C2D"/>
    <w:rsid w:val="009162B5"/>
    <w:rsid w:val="00916602"/>
    <w:rsid w:val="00934A2B"/>
    <w:rsid w:val="009367D1"/>
    <w:rsid w:val="0095591A"/>
    <w:rsid w:val="009578DB"/>
    <w:rsid w:val="00960438"/>
    <w:rsid w:val="00961C46"/>
    <w:rsid w:val="009648B2"/>
    <w:rsid w:val="00975940"/>
    <w:rsid w:val="009769BC"/>
    <w:rsid w:val="00990C3E"/>
    <w:rsid w:val="009B53F9"/>
    <w:rsid w:val="009B7FE6"/>
    <w:rsid w:val="009C2B33"/>
    <w:rsid w:val="009E2C0C"/>
    <w:rsid w:val="009E5EDD"/>
    <w:rsid w:val="009F493A"/>
    <w:rsid w:val="00A0108E"/>
    <w:rsid w:val="00A104EA"/>
    <w:rsid w:val="00A363A2"/>
    <w:rsid w:val="00A40423"/>
    <w:rsid w:val="00A45553"/>
    <w:rsid w:val="00A6204D"/>
    <w:rsid w:val="00A71D8E"/>
    <w:rsid w:val="00AA3D37"/>
    <w:rsid w:val="00AA6DCE"/>
    <w:rsid w:val="00AB1EA5"/>
    <w:rsid w:val="00AB21C9"/>
    <w:rsid w:val="00AD395A"/>
    <w:rsid w:val="00AE30B1"/>
    <w:rsid w:val="00AF2A52"/>
    <w:rsid w:val="00AF674D"/>
    <w:rsid w:val="00AF7CE3"/>
    <w:rsid w:val="00B02DE3"/>
    <w:rsid w:val="00B0384C"/>
    <w:rsid w:val="00B07113"/>
    <w:rsid w:val="00B211ED"/>
    <w:rsid w:val="00B22693"/>
    <w:rsid w:val="00B23FD3"/>
    <w:rsid w:val="00B2506E"/>
    <w:rsid w:val="00B35C0B"/>
    <w:rsid w:val="00B44607"/>
    <w:rsid w:val="00B561C4"/>
    <w:rsid w:val="00B6131C"/>
    <w:rsid w:val="00B663BA"/>
    <w:rsid w:val="00B76171"/>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61308"/>
    <w:rsid w:val="00C660E3"/>
    <w:rsid w:val="00C66895"/>
    <w:rsid w:val="00C83AD0"/>
    <w:rsid w:val="00C9138D"/>
    <w:rsid w:val="00C9285A"/>
    <w:rsid w:val="00C94B71"/>
    <w:rsid w:val="00C9688E"/>
    <w:rsid w:val="00C97A49"/>
    <w:rsid w:val="00CB32A7"/>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50FFD"/>
    <w:rsid w:val="00E6358D"/>
    <w:rsid w:val="00E64072"/>
    <w:rsid w:val="00E6746D"/>
    <w:rsid w:val="00E67CC1"/>
    <w:rsid w:val="00E7139F"/>
    <w:rsid w:val="00E81C89"/>
    <w:rsid w:val="00E85475"/>
    <w:rsid w:val="00E97A54"/>
    <w:rsid w:val="00EA4018"/>
    <w:rsid w:val="00EA4077"/>
    <w:rsid w:val="00EA5B5C"/>
    <w:rsid w:val="00EC1EFB"/>
    <w:rsid w:val="00EC6A8D"/>
    <w:rsid w:val="00EE160C"/>
    <w:rsid w:val="00EE5F6A"/>
    <w:rsid w:val="00EE6226"/>
    <w:rsid w:val="00EF6F21"/>
    <w:rsid w:val="00F02725"/>
    <w:rsid w:val="00F02CEC"/>
    <w:rsid w:val="00F041F7"/>
    <w:rsid w:val="00F15BE0"/>
    <w:rsid w:val="00F25503"/>
    <w:rsid w:val="00F30310"/>
    <w:rsid w:val="00F50186"/>
    <w:rsid w:val="00F834D3"/>
    <w:rsid w:val="00F92B3B"/>
    <w:rsid w:val="00F97B4F"/>
    <w:rsid w:val="00FA0B30"/>
    <w:rsid w:val="00FC2E68"/>
    <w:rsid w:val="00FC3749"/>
    <w:rsid w:val="00FE3073"/>
    <w:rsid w:val="00FE3ED4"/>
    <w:rsid w:val="00FE4F73"/>
    <w:rsid w:val="00FF0BA5"/>
    <w:rsid w:val="00FF3669"/>
    <w:rsid w:val="00F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39</Pages>
  <Words>11345</Words>
  <Characters>62400</Characters>
  <Application>Microsoft Office Word</Application>
  <DocSecurity>0</DocSecurity>
  <Lines>520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45</cp:revision>
  <dcterms:created xsi:type="dcterms:W3CDTF">2020-07-29T12:53:00Z</dcterms:created>
  <dcterms:modified xsi:type="dcterms:W3CDTF">2020-09-26T00:08:00Z</dcterms:modified>
</cp:coreProperties>
</file>