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6A53" w14:textId="6C7D0CF0" w:rsidR="00FA0B30" w:rsidRDefault="00591800" w:rsidP="00EF2783">
      <w:pPr>
        <w:widowControl w:val="0"/>
        <w:spacing w:before="0" w:after="160" w:line="259" w:lineRule="auto"/>
      </w:pPr>
      <w:sdt>
        <w:sdtPr>
          <w:id w:val="301970351"/>
          <w:docPartObj>
            <w:docPartGallery w:val="Cover Pages"/>
            <w:docPartUnique/>
          </w:docPartObj>
        </w:sdtPr>
        <w:sdtEndPr>
          <w:rPr>
            <w:rFonts w:ascii="Avenir LT Std 55 Roman" w:hAnsi="Avenir LT Std 55 Roman"/>
            <w:b/>
          </w:rPr>
        </w:sdtEndPr>
        <w:sdtContent>
          <w:r w:rsidR="000830F0">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bookmarkStart w:id="0" w:name="_Toc43575714"/>
        </w:sdtContent>
      </w:sdt>
      <w:r w:rsidR="00FA0B30">
        <w:t>Plan</w:t>
      </w:r>
      <w:r w:rsidR="001710AA">
        <w:t xml:space="preserve"> </w:t>
      </w:r>
      <w:r w:rsidR="00FA0B30">
        <w:t>de</w:t>
      </w:r>
      <w:r w:rsidR="001710AA">
        <w:t xml:space="preserve"> </w:t>
      </w:r>
      <w:r w:rsidR="00FA0B30">
        <w:t>Validación</w:t>
      </w:r>
      <w:bookmarkEnd w:id="0"/>
      <w:r w:rsidR="001710AA">
        <w:t xml:space="preserve"> </w:t>
      </w:r>
      <w:r w:rsidR="0006314C" w:rsidRPr="0006314C">
        <w:rPr>
          <w:vanish/>
          <w:color w:val="BF8F00" w:themeColor="accent4" w:themeShade="BF"/>
        </w:rPr>
        <w:t>(H1)</w:t>
      </w:r>
    </w:p>
    <w:p w14:paraId="5287BAD5" w14:textId="60CBC233" w:rsidR="00FA0B30" w:rsidRDefault="00FA0B30" w:rsidP="00FA0B30">
      <w:pPr>
        <w:pStyle w:val="Heading2"/>
      </w:pPr>
      <w:bookmarkStart w:id="1"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1"/>
    </w:p>
    <w:p w14:paraId="768B4DE3" w14:textId="4D5B951A" w:rsidR="003B5E6D" w:rsidRDefault="003B5E6D" w:rsidP="003B5E6D">
      <w:pPr>
        <w:rPr>
          <w:lang w:val="es-ES"/>
        </w:rPr>
      </w:pPr>
      <w:bookmarkStart w:id="2" w:name="_Toc43575716"/>
      <w:r>
        <w:rPr>
          <w:lang w:val="es-ES"/>
        </w:rPr>
        <w:t>En el diseño de banco de pruebas se tuvo en cuenta dos grandes partes del proyecto. En primer lugar, la de sistema de comunicación</w:t>
      </w:r>
      <w:r w:rsidR="00EF2783">
        <w:rPr>
          <w:lang w:val="es-ES"/>
        </w:rPr>
        <w:t xml:space="preserve"> con el servidor y el c</w:t>
      </w:r>
      <w:r>
        <w:rPr>
          <w:lang w:val="es-ES"/>
        </w:rPr>
        <w:t>alibre y en segundo, la comunicación con el servidor y l</w:t>
      </w:r>
      <w:r w:rsidR="00EF2783">
        <w:rPr>
          <w:lang w:val="es-ES"/>
        </w:rPr>
        <w:t>as entradas analógicas y</w:t>
      </w:r>
      <w:r>
        <w:rPr>
          <w:lang w:val="es-ES"/>
        </w:rPr>
        <w:t xml:space="preserve"> salidas</w:t>
      </w:r>
      <w:r w:rsidR="00EF2783">
        <w:rPr>
          <w:lang w:val="es-ES"/>
        </w:rPr>
        <w:t xml:space="preserve"> digitales</w:t>
      </w:r>
      <w:r>
        <w:rPr>
          <w:lang w:val="es-ES"/>
        </w:rPr>
        <w:t>.</w:t>
      </w:r>
    </w:p>
    <w:p w14:paraId="4813C864" w14:textId="002C8295" w:rsidR="003B5E6D" w:rsidRDefault="003B5E6D" w:rsidP="003B5E6D">
      <w:pPr>
        <w:jc w:val="center"/>
        <w:rPr>
          <w:lang w:val="es-ES"/>
        </w:rPr>
      </w:pPr>
      <w:r>
        <w:rPr>
          <w:noProof/>
        </w:rPr>
        <w:drawing>
          <wp:inline distT="0" distB="0" distL="0" distR="0" wp14:anchorId="0581BE5D" wp14:editId="34A415EE">
            <wp:extent cx="5731510" cy="23475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7595"/>
                    </a:xfrm>
                    <a:prstGeom prst="rect">
                      <a:avLst/>
                    </a:prstGeom>
                  </pic:spPr>
                </pic:pic>
              </a:graphicData>
            </a:graphic>
          </wp:inline>
        </w:drawing>
      </w:r>
    </w:p>
    <w:p w14:paraId="469A34A4" w14:textId="23674A2D" w:rsidR="00866D32" w:rsidRPr="00866D32" w:rsidRDefault="00866D32" w:rsidP="00866D32">
      <w:pPr>
        <w:jc w:val="center"/>
        <w:rPr>
          <w:i/>
          <w:iCs/>
          <w:lang w:val="es-ES"/>
        </w:rPr>
      </w:pPr>
      <w:r w:rsidRPr="00866D32">
        <w:rPr>
          <w:i/>
          <w:iCs/>
          <w:lang w:val="es-ES"/>
        </w:rPr>
        <w:t>Banco de pruebas #1</w:t>
      </w:r>
    </w:p>
    <w:p w14:paraId="5AB0C026" w14:textId="4378E980" w:rsidR="003B5E6D" w:rsidRDefault="003B5E6D" w:rsidP="003B5E6D">
      <w:pPr>
        <w:jc w:val="center"/>
        <w:rPr>
          <w:lang w:val="es-ES"/>
        </w:rPr>
      </w:pPr>
      <w:r>
        <w:rPr>
          <w:noProof/>
        </w:rPr>
        <w:drawing>
          <wp:inline distT="0" distB="0" distL="0" distR="0" wp14:anchorId="524D918E" wp14:editId="6926A76C">
            <wp:extent cx="5731510" cy="223837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8375"/>
                    </a:xfrm>
                    <a:prstGeom prst="rect">
                      <a:avLst/>
                    </a:prstGeom>
                  </pic:spPr>
                </pic:pic>
              </a:graphicData>
            </a:graphic>
          </wp:inline>
        </w:drawing>
      </w:r>
    </w:p>
    <w:p w14:paraId="10A2A04E" w14:textId="56053E08" w:rsidR="00866D32" w:rsidRDefault="00866D32" w:rsidP="003B5E6D">
      <w:pPr>
        <w:jc w:val="center"/>
        <w:rPr>
          <w:lang w:val="es-ES"/>
        </w:rPr>
      </w:pPr>
      <w:r w:rsidRPr="00866D32">
        <w:rPr>
          <w:i/>
          <w:iCs/>
          <w:lang w:val="es-ES"/>
        </w:rPr>
        <w:t>Banco de pruebas #</w:t>
      </w:r>
      <w:r>
        <w:rPr>
          <w:i/>
          <w:iCs/>
          <w:lang w:val="es-ES"/>
        </w:rPr>
        <w:t>2</w:t>
      </w:r>
    </w:p>
    <w:p w14:paraId="6DD7FD39" w14:textId="36F4F838" w:rsidR="003B5E6D" w:rsidRPr="00EF2783" w:rsidRDefault="003B5E6D" w:rsidP="00EF2783">
      <w:pPr>
        <w:pStyle w:val="Heading2"/>
        <w:numPr>
          <w:ilvl w:val="0"/>
          <w:numId w:val="0"/>
        </w:numPr>
        <w:ind w:left="568"/>
      </w:pPr>
      <w:r>
        <w:t>4.2</w:t>
      </w:r>
      <w:r w:rsidR="00FA0B30">
        <w:t>Especificaciones</w:t>
      </w:r>
      <w:r w:rsidR="001710AA">
        <w:t xml:space="preserve"> </w:t>
      </w:r>
      <w:r w:rsidR="00FA0B30">
        <w:t>de</w:t>
      </w:r>
      <w:r w:rsidR="001710AA">
        <w:t xml:space="preserve"> </w:t>
      </w:r>
      <w:proofErr w:type="spellStart"/>
      <w:r w:rsidR="00FA0B30">
        <w:t>Tests</w:t>
      </w:r>
      <w:bookmarkEnd w:id="2"/>
      <w:proofErr w:type="spellEnd"/>
    </w:p>
    <w:tbl>
      <w:tblPr>
        <w:tblStyle w:val="TableGrid"/>
        <w:tblW w:w="9067" w:type="dxa"/>
        <w:tblLook w:val="04A0" w:firstRow="1" w:lastRow="0" w:firstColumn="1" w:lastColumn="0" w:noHBand="0" w:noVBand="1"/>
      </w:tblPr>
      <w:tblGrid>
        <w:gridCol w:w="1294"/>
        <w:gridCol w:w="6176"/>
        <w:gridCol w:w="1597"/>
      </w:tblGrid>
      <w:tr w:rsidR="003B5E6D" w14:paraId="08B24BEE" w14:textId="77777777" w:rsidTr="003B5E6D">
        <w:tc>
          <w:tcPr>
            <w:tcW w:w="1294" w:type="dxa"/>
            <w:vAlign w:val="center"/>
          </w:tcPr>
          <w:p w14:paraId="121A581D" w14:textId="77777777" w:rsidR="003B5E6D" w:rsidRPr="00DE13C1" w:rsidRDefault="003B5E6D" w:rsidP="003B5E6D">
            <w:pPr>
              <w:jc w:val="center"/>
              <w:rPr>
                <w:b/>
              </w:rPr>
            </w:pPr>
            <w:r w:rsidRPr="00DE13C1">
              <w:rPr>
                <w:b/>
              </w:rPr>
              <w:t>ID</w:t>
            </w:r>
            <w:r w:rsidRPr="00DE13C1">
              <w:rPr>
                <w:b/>
              </w:rPr>
              <w:br/>
              <w:t>Aplicabilidad</w:t>
            </w:r>
          </w:p>
        </w:tc>
        <w:tc>
          <w:tcPr>
            <w:tcW w:w="6214" w:type="dxa"/>
            <w:vAlign w:val="center"/>
          </w:tcPr>
          <w:p w14:paraId="17B3134D" w14:textId="77777777" w:rsidR="003B5E6D" w:rsidRPr="00DE13C1" w:rsidRDefault="003B5E6D" w:rsidP="003B5E6D">
            <w:pPr>
              <w:jc w:val="center"/>
              <w:rPr>
                <w:b/>
              </w:rPr>
            </w:pPr>
            <w:r w:rsidRPr="00DE13C1">
              <w:rPr>
                <w:b/>
              </w:rPr>
              <w:t>Procedimiento</w:t>
            </w:r>
          </w:p>
        </w:tc>
        <w:tc>
          <w:tcPr>
            <w:tcW w:w="1559" w:type="dxa"/>
            <w:vAlign w:val="center"/>
          </w:tcPr>
          <w:p w14:paraId="4BF81E61" w14:textId="77777777" w:rsidR="003B5E6D" w:rsidRPr="00DE13C1" w:rsidRDefault="003B5E6D" w:rsidP="003B5E6D">
            <w:pPr>
              <w:jc w:val="center"/>
              <w:rPr>
                <w:b/>
              </w:rPr>
            </w:pPr>
            <w:r w:rsidRPr="00DE13C1">
              <w:rPr>
                <w:b/>
              </w:rPr>
              <w:t>Criterio</w:t>
            </w:r>
          </w:p>
        </w:tc>
      </w:tr>
      <w:tr w:rsidR="003B5E6D" w14:paraId="1223696D" w14:textId="77777777" w:rsidTr="003B5E6D">
        <w:tc>
          <w:tcPr>
            <w:tcW w:w="9067" w:type="dxa"/>
            <w:gridSpan w:val="3"/>
            <w:vAlign w:val="center"/>
          </w:tcPr>
          <w:p w14:paraId="3B179106" w14:textId="77777777" w:rsidR="003B5E6D" w:rsidRDefault="003B5E6D" w:rsidP="003B5E6D">
            <w:pPr>
              <w:jc w:val="both"/>
            </w:pPr>
            <w:bookmarkStart w:id="3" w:name="_Hlk52293084"/>
            <w:r w:rsidRPr="005A76E9">
              <w:rPr>
                <w:b/>
                <w:u w:val="single"/>
              </w:rPr>
              <w:t>Procedimiento</w:t>
            </w:r>
            <w:r>
              <w:rPr>
                <w:b/>
                <w:u w:val="single"/>
              </w:rPr>
              <w:t xml:space="preserve"> </w:t>
            </w:r>
            <w:r w:rsidRPr="005A76E9">
              <w:rPr>
                <w:b/>
                <w:u w:val="single"/>
              </w:rPr>
              <w:t>General</w:t>
            </w:r>
            <w:r>
              <w:t>: para todas estas pruebas, se deberá conectar el DUT al banco de pruebas #</w:t>
            </w:r>
            <w:r w:rsidRPr="00073A86">
              <w:rPr>
                <w:color w:val="000000" w:themeColor="text1"/>
              </w:rPr>
              <w:t>1</w:t>
            </w:r>
            <w:r>
              <w:t xml:space="preserve">. Verifique que ambas puntas del osciloscopio estén correctamente conectadas, y que cada una de ellas tenga la referencia conectado al pin de tierra inmediatamente al lado del que se intenta medir. El osciloscopio deberá estar ajustado para mostrar en pantalla un período no mayor a 5ms, dado que la trama es de 13 datos y la señal de CLK es de 4096Hz. Deberá tener también acoplado AC para evitar ver señales de tensión continua. La amplitud que se pueda ver en pantalla deberá ser no mayor a 5VDC </w:t>
            </w:r>
            <w:r w:rsidRPr="006B226C">
              <w:rPr>
                <w:color w:val="FF0000"/>
              </w:rPr>
              <w:t>(TBD)</w:t>
            </w:r>
            <w:r>
              <w:t xml:space="preserve">. El </w:t>
            </w:r>
            <w:proofErr w:type="spellStart"/>
            <w:r>
              <w:t>trigger</w:t>
            </w:r>
            <w:proofErr w:type="spellEnd"/>
            <w:r>
              <w:t xml:space="preserve"> deberá estar puesto en automático y el nivel del </w:t>
            </w:r>
            <w:proofErr w:type="spellStart"/>
            <w:r>
              <w:t>trigger</w:t>
            </w:r>
            <w:proofErr w:type="spellEnd"/>
            <w:r>
              <w:t xml:space="preserve"> en 2.5VDC</w:t>
            </w:r>
            <w:r w:rsidRPr="007158C3">
              <w:rPr>
                <w:color w:val="FF0000"/>
              </w:rPr>
              <w:t>(TBD)</w:t>
            </w:r>
            <w:r>
              <w:t xml:space="preserve">. El </w:t>
            </w:r>
            <w:proofErr w:type="spellStart"/>
            <w:r>
              <w:t>display</w:t>
            </w:r>
            <w:proofErr w:type="spellEnd"/>
            <w:r>
              <w:t xml:space="preserve"> deberá estar puesto en estado normal (es decir, sin persistencia). Las puntas deberán estar en impedancia de entrada x10, con el ajuste acorde en el osciloscopio. Escala de 1V/</w:t>
            </w:r>
            <w:proofErr w:type="spellStart"/>
            <w:r>
              <w:t>div</w:t>
            </w:r>
            <w:proofErr w:type="spellEnd"/>
            <w:r>
              <w:t xml:space="preserve">. Salvo que </w:t>
            </w:r>
            <w:proofErr w:type="gramStart"/>
            <w:r>
              <w:t>el test</w:t>
            </w:r>
            <w:proofErr w:type="gramEnd"/>
            <w:r>
              <w:t xml:space="preserve"> así lo indique, no deberá haber ningún tipo de filtro salvo aquellos ya mencionados.</w:t>
            </w:r>
          </w:p>
        </w:tc>
      </w:tr>
      <w:tr w:rsidR="003B5E6D" w14:paraId="0BF96515" w14:textId="77777777" w:rsidTr="003B5E6D">
        <w:tc>
          <w:tcPr>
            <w:tcW w:w="1294" w:type="dxa"/>
            <w:vAlign w:val="center"/>
          </w:tcPr>
          <w:p w14:paraId="739030B1" w14:textId="77777777" w:rsidR="003B5E6D" w:rsidRDefault="003B5E6D" w:rsidP="003B5E6D">
            <w:pPr>
              <w:jc w:val="center"/>
            </w:pPr>
            <w:r>
              <w:lastRenderedPageBreak/>
              <w:t>T-PERF01</w:t>
            </w:r>
          </w:p>
          <w:p w14:paraId="7DA8FC0B" w14:textId="2B47D89B" w:rsidR="003B5E6D" w:rsidRDefault="003B5E6D" w:rsidP="003B5E6D">
            <w:pPr>
              <w:jc w:val="center"/>
            </w:pPr>
          </w:p>
        </w:tc>
        <w:tc>
          <w:tcPr>
            <w:tcW w:w="6214" w:type="dxa"/>
            <w:vAlign w:val="center"/>
          </w:tcPr>
          <w:p w14:paraId="56DA3B0A" w14:textId="77777777" w:rsidR="003B5E6D" w:rsidRDefault="003B5E6D" w:rsidP="003B5E6D">
            <w:pPr>
              <w:pStyle w:val="ListParagraph"/>
              <w:numPr>
                <w:ilvl w:val="0"/>
                <w:numId w:val="14"/>
              </w:numPr>
              <w:jc w:val="both"/>
            </w:pPr>
            <w:r>
              <w:t>Verificar que la PC, la alimentación, el calibre y el DUT estén encendidos y correctamente conectados.</w:t>
            </w:r>
          </w:p>
          <w:p w14:paraId="0D17D104" w14:textId="77777777" w:rsidR="003B5E6D" w:rsidRDefault="003B5E6D" w:rsidP="003B5E6D">
            <w:pPr>
              <w:pStyle w:val="ListParagraph"/>
              <w:numPr>
                <w:ilvl w:val="0"/>
                <w:numId w:val="14"/>
              </w:numPr>
              <w:jc w:val="both"/>
            </w:pPr>
            <w:r>
              <w:t>Verificar que cuando se pide a través del servidor (en este caso, emulado por la PC) al DUT que el calibre transmita una medición, la misma llegue al DUT. En este caso si después de la solicitud, no hay respuesta es porque el calibre está apagado.</w:t>
            </w:r>
          </w:p>
          <w:p w14:paraId="65BA4CE2" w14:textId="77777777" w:rsidR="003B5E6D" w:rsidRDefault="003B5E6D" w:rsidP="003B5E6D">
            <w:pPr>
              <w:pStyle w:val="ListParagraph"/>
              <w:numPr>
                <w:ilvl w:val="0"/>
                <w:numId w:val="14"/>
              </w:numPr>
              <w:jc w:val="both"/>
            </w:pPr>
            <w:r>
              <w:t xml:space="preserve">Frente a medidas patrón </w:t>
            </w:r>
            <w:r w:rsidRPr="00585C55">
              <w:rPr>
                <w:color w:val="FF0000"/>
              </w:rPr>
              <w:t>(TBD</w:t>
            </w:r>
            <w:r>
              <w:t xml:space="preserve">) verificar que lo que se mide con el calibre y aparece en la pantalla </w:t>
            </w:r>
            <w:proofErr w:type="gramStart"/>
            <w:r>
              <w:t>del mismo</w:t>
            </w:r>
            <w:proofErr w:type="gramEnd"/>
            <w:r>
              <w:t xml:space="preserve"> es igual a lo que recibe el DUT.</w:t>
            </w:r>
          </w:p>
        </w:tc>
        <w:tc>
          <w:tcPr>
            <w:tcW w:w="1559" w:type="dxa"/>
            <w:vAlign w:val="center"/>
          </w:tcPr>
          <w:p w14:paraId="3724706A" w14:textId="77777777" w:rsidR="003B5E6D" w:rsidRDefault="003B5E6D" w:rsidP="003B5E6D">
            <w:r>
              <w:t xml:space="preserve">Correspondencia entre valores: de señal de datos de calibre y lo que se recibe en el módulo </w:t>
            </w:r>
          </w:p>
        </w:tc>
      </w:tr>
      <w:tr w:rsidR="003B5E6D" w14:paraId="42BA7770" w14:textId="77777777" w:rsidTr="003B5E6D">
        <w:tc>
          <w:tcPr>
            <w:tcW w:w="1294" w:type="dxa"/>
            <w:vAlign w:val="center"/>
          </w:tcPr>
          <w:p w14:paraId="79A7908C" w14:textId="77777777" w:rsidR="003B5E6D" w:rsidRDefault="003B5E6D" w:rsidP="003B5E6D">
            <w:pPr>
              <w:jc w:val="center"/>
            </w:pPr>
            <w:r>
              <w:t>T-PERF02</w:t>
            </w:r>
          </w:p>
          <w:p w14:paraId="2C61345C" w14:textId="77777777" w:rsidR="003B5E6D" w:rsidRDefault="003B5E6D" w:rsidP="003B5E6D">
            <w:pPr>
              <w:jc w:val="center"/>
            </w:pPr>
          </w:p>
        </w:tc>
        <w:tc>
          <w:tcPr>
            <w:tcW w:w="6214" w:type="dxa"/>
            <w:vAlign w:val="center"/>
          </w:tcPr>
          <w:p w14:paraId="4CA782BF" w14:textId="4F990695" w:rsidR="0006355A" w:rsidRDefault="0006355A" w:rsidP="003B5E6D">
            <w:pPr>
              <w:pStyle w:val="ListParagraph"/>
              <w:numPr>
                <w:ilvl w:val="0"/>
                <w:numId w:val="17"/>
              </w:numPr>
              <w:jc w:val="both"/>
            </w:pPr>
            <w:r>
              <w:t>Se procede a utilizar banco de pruebas #2</w:t>
            </w:r>
          </w:p>
          <w:p w14:paraId="28227DAC" w14:textId="47BD8516" w:rsidR="003B5E6D" w:rsidRDefault="003B5E6D" w:rsidP="003B5E6D">
            <w:pPr>
              <w:pStyle w:val="ListParagraph"/>
              <w:numPr>
                <w:ilvl w:val="0"/>
                <w:numId w:val="17"/>
              </w:numPr>
              <w:jc w:val="both"/>
            </w:pPr>
            <w:r>
              <w:t xml:space="preserve">Se asume que la alimentación y la comunicación con el módulo a través de POE, ya se encuentra validado en </w:t>
            </w:r>
            <w:proofErr w:type="gramStart"/>
            <w:r>
              <w:t>el test</w:t>
            </w:r>
            <w:proofErr w:type="gramEnd"/>
            <w:r>
              <w:t xml:space="preserve"> T-PERF01, así como la correcta conexión de la PC y demás.</w:t>
            </w:r>
          </w:p>
          <w:p w14:paraId="4E3BF791" w14:textId="77777777" w:rsidR="003B5E6D" w:rsidRDefault="003B5E6D" w:rsidP="003B5E6D">
            <w:pPr>
              <w:pStyle w:val="ListParagraph"/>
              <w:numPr>
                <w:ilvl w:val="0"/>
                <w:numId w:val="17"/>
              </w:numPr>
              <w:jc w:val="both"/>
            </w:pPr>
            <w:r>
              <w:t xml:space="preserve">Por medio del servidor proveer una configuración a la parte de entradas analógicas. </w:t>
            </w:r>
          </w:p>
          <w:p w14:paraId="6D954579" w14:textId="77777777" w:rsidR="003B5E6D" w:rsidRDefault="003B5E6D" w:rsidP="003B5E6D">
            <w:pPr>
              <w:pStyle w:val="ListParagraph"/>
              <w:numPr>
                <w:ilvl w:val="0"/>
                <w:numId w:val="17"/>
              </w:numPr>
              <w:jc w:val="both"/>
            </w:pPr>
            <w:r>
              <w:t xml:space="preserve">Luego se realiza la inyección de entrada analógica por medio de un generador de señales y con la disposición de un conversor de tensión a corriente de forma tal de tener como entrada: en un caso el mínimo nivel de corriente (4mA), y en otro caso el nivel máximo (20mA). </w:t>
            </w:r>
          </w:p>
          <w:p w14:paraId="12971DF5" w14:textId="77777777" w:rsidR="003B5E6D" w:rsidRDefault="003B5E6D" w:rsidP="003B5E6D">
            <w:pPr>
              <w:pStyle w:val="ListParagraph"/>
              <w:numPr>
                <w:ilvl w:val="0"/>
                <w:numId w:val="17"/>
              </w:numPr>
              <w:jc w:val="both"/>
            </w:pPr>
            <w:r>
              <w:t>Para verificar que se lee correctamente en cada entrada hay que ver que se corresponda lo que está en la entrada y lo que se envió al servidor con un cierto rango de tolerancia sugerido por CPI S.A.</w:t>
            </w:r>
          </w:p>
        </w:tc>
        <w:tc>
          <w:tcPr>
            <w:tcW w:w="1559" w:type="dxa"/>
            <w:vAlign w:val="center"/>
          </w:tcPr>
          <w:p w14:paraId="4A65022A" w14:textId="77777777" w:rsidR="003B5E6D" w:rsidRDefault="003B5E6D" w:rsidP="003B5E6D">
            <w:r>
              <w:t>En mínimo:</w:t>
            </w:r>
          </w:p>
          <w:p w14:paraId="2010EE03" w14:textId="77777777" w:rsidR="003B5E6D" w:rsidRDefault="003B5E6D" w:rsidP="003B5E6D">
            <w:r>
              <w:t>(4+/-0.2) mA</w:t>
            </w:r>
          </w:p>
          <w:p w14:paraId="44879A05" w14:textId="77777777" w:rsidR="003B5E6D" w:rsidRDefault="003B5E6D" w:rsidP="003B5E6D">
            <w:r>
              <w:t>En máximo:</w:t>
            </w:r>
          </w:p>
          <w:p w14:paraId="212C7CBF" w14:textId="77777777" w:rsidR="003B5E6D" w:rsidRDefault="003B5E6D" w:rsidP="003B5E6D">
            <w:r>
              <w:t>(20+/-0.5) mA</w:t>
            </w:r>
          </w:p>
        </w:tc>
      </w:tr>
      <w:tr w:rsidR="003B5E6D" w14:paraId="2B22047F" w14:textId="77777777" w:rsidTr="003B5E6D">
        <w:tc>
          <w:tcPr>
            <w:tcW w:w="1294" w:type="dxa"/>
            <w:vAlign w:val="center"/>
          </w:tcPr>
          <w:p w14:paraId="0684EB8B" w14:textId="77777777" w:rsidR="003B5E6D" w:rsidRDefault="003B5E6D" w:rsidP="003B5E6D">
            <w:pPr>
              <w:jc w:val="center"/>
            </w:pPr>
            <w:r>
              <w:t>T-PERF03</w:t>
            </w:r>
          </w:p>
          <w:p w14:paraId="344CDD88" w14:textId="638B99E4" w:rsidR="003B5E6D" w:rsidRDefault="003B5E6D" w:rsidP="003B5E6D">
            <w:pPr>
              <w:jc w:val="center"/>
            </w:pPr>
          </w:p>
        </w:tc>
        <w:tc>
          <w:tcPr>
            <w:tcW w:w="6214" w:type="dxa"/>
            <w:vAlign w:val="center"/>
          </w:tcPr>
          <w:p w14:paraId="7D37AE95" w14:textId="0183FAC7" w:rsidR="0006355A" w:rsidRDefault="0006355A" w:rsidP="0006355A">
            <w:pPr>
              <w:pStyle w:val="ListParagraph"/>
              <w:numPr>
                <w:ilvl w:val="0"/>
                <w:numId w:val="17"/>
              </w:numPr>
              <w:jc w:val="both"/>
            </w:pPr>
            <w:r>
              <w:t>Se procede a utilizar banco de pruebas #2</w:t>
            </w:r>
          </w:p>
          <w:p w14:paraId="03DB806E" w14:textId="5CA9E80A" w:rsidR="003B5E6D" w:rsidRDefault="003B5E6D" w:rsidP="003B5E6D">
            <w:pPr>
              <w:pStyle w:val="ListParagraph"/>
              <w:numPr>
                <w:ilvl w:val="0"/>
                <w:numId w:val="17"/>
              </w:numPr>
              <w:jc w:val="both"/>
            </w:pPr>
            <w:r>
              <w:t xml:space="preserve">Se asume que la alimentación y la comunicación con el módulo a través de POE, ya se encuentra validado en </w:t>
            </w:r>
            <w:proofErr w:type="gramStart"/>
            <w:r>
              <w:t>el test</w:t>
            </w:r>
            <w:proofErr w:type="gramEnd"/>
            <w:r>
              <w:t xml:space="preserve"> T-PERF01, así como la correcta conexión de la PC y demás.</w:t>
            </w:r>
          </w:p>
          <w:p w14:paraId="16DA9D28" w14:textId="77777777" w:rsidR="003B5E6D" w:rsidRDefault="003B5E6D" w:rsidP="003B5E6D">
            <w:pPr>
              <w:pStyle w:val="ListParagraph"/>
              <w:numPr>
                <w:ilvl w:val="0"/>
                <w:numId w:val="17"/>
              </w:numPr>
              <w:jc w:val="both"/>
            </w:pPr>
            <w:r>
              <w:t>Efectuar medición con osciloscopio en cada una de las salidas digitales con la siguiente configuración establecida por el servidor: una de las salidas activa y el resto apagadas, y ver que se corresponda el estado de la salida con lo que se mide en el osciloscopio.</w:t>
            </w:r>
          </w:p>
          <w:p w14:paraId="5BCBCCEA" w14:textId="7AF21E1E" w:rsidR="003B5E6D" w:rsidRDefault="003B5E6D" w:rsidP="003B5E6D">
            <w:pPr>
              <w:pStyle w:val="ListParagraph"/>
              <w:numPr>
                <w:ilvl w:val="0"/>
                <w:numId w:val="17"/>
              </w:numPr>
              <w:jc w:val="both"/>
            </w:pPr>
            <w:r>
              <w:t xml:space="preserve">Repetir el paso </w:t>
            </w:r>
            <w:r w:rsidR="00F16E85">
              <w:t>anterior,</w:t>
            </w:r>
            <w:r>
              <w:t xml:space="preserve"> pero con todas las salidas activas.</w:t>
            </w:r>
          </w:p>
        </w:tc>
        <w:tc>
          <w:tcPr>
            <w:tcW w:w="1559" w:type="dxa"/>
            <w:vAlign w:val="center"/>
          </w:tcPr>
          <w:p w14:paraId="34810E7E" w14:textId="77777777" w:rsidR="003B5E6D" w:rsidRDefault="003B5E6D" w:rsidP="003B5E6D">
            <w:r>
              <w:t>Salida activa:</w:t>
            </w:r>
          </w:p>
          <w:p w14:paraId="4B4EDA85" w14:textId="4DF8455D" w:rsidR="003B5E6D" w:rsidRDefault="003B5E6D" w:rsidP="003B5E6D">
            <w:r>
              <w:t>(24</w:t>
            </w:r>
            <w:r w:rsidR="00B141BC">
              <w:t>.4-26.4</w:t>
            </w:r>
            <w:r>
              <w:t>) V</w:t>
            </w:r>
          </w:p>
        </w:tc>
      </w:tr>
    </w:tbl>
    <w:bookmarkEnd w:id="3"/>
    <w:p w14:paraId="51A4052F" w14:textId="315AD31F" w:rsidR="001C4D2F" w:rsidRPr="00EF2783" w:rsidRDefault="003B5E6D" w:rsidP="00EF2783">
      <w:pPr>
        <w:pStyle w:val="Caption"/>
        <w:jc w:val="center"/>
        <w:rPr>
          <w:color w:val="auto"/>
        </w:rPr>
      </w:pPr>
      <w:r w:rsidRPr="00D300ED">
        <w:rPr>
          <w:color w:val="auto"/>
        </w:rPr>
        <w:t>Tabla</w:t>
      </w:r>
      <w:r>
        <w:rPr>
          <w:color w:val="auto"/>
        </w:rPr>
        <w:t xml:space="preserve">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noBreakHyphen/>
      </w:r>
      <w:r>
        <w:rPr>
          <w:color w:val="auto"/>
        </w:rPr>
        <w:fldChar w:fldCharType="begin"/>
      </w:r>
      <w:r>
        <w:rPr>
          <w:color w:val="auto"/>
        </w:rPr>
        <w:instrText xml:space="preserve"> SEQ Tabla \* ARABIC \s 1 </w:instrText>
      </w:r>
      <w:r>
        <w:rPr>
          <w:color w:val="auto"/>
        </w:rPr>
        <w:fldChar w:fldCharType="separate"/>
      </w:r>
      <w:r>
        <w:rPr>
          <w:noProof/>
          <w:color w:val="auto"/>
        </w:rPr>
        <w:t>1</w:t>
      </w:r>
      <w:r>
        <w:rPr>
          <w:color w:val="auto"/>
        </w:rPr>
        <w:fldChar w:fldCharType="end"/>
      </w:r>
      <w:r w:rsidRPr="00D300ED">
        <w:rPr>
          <w:color w:val="auto"/>
        </w:rPr>
        <w:t>:</w:t>
      </w:r>
      <w:r>
        <w:rPr>
          <w:color w:val="auto"/>
        </w:rPr>
        <w:t xml:space="preserve"> </w:t>
      </w:r>
      <w:proofErr w:type="spellStart"/>
      <w:r>
        <w:rPr>
          <w:color w:val="auto"/>
        </w:rPr>
        <w:t>Tests</w:t>
      </w:r>
      <w:proofErr w:type="spellEnd"/>
      <w:r>
        <w:rPr>
          <w:color w:val="auto"/>
        </w:rPr>
        <w:t xml:space="preserve"> de Performance</w:t>
      </w:r>
    </w:p>
    <w:p w14:paraId="38DCD72F" w14:textId="701CD40B" w:rsidR="004C5068" w:rsidRDefault="0082179E" w:rsidP="001710AA">
      <w:pPr>
        <w:pStyle w:val="Heading2"/>
      </w:pPr>
      <w:bookmarkStart w:id="4"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4"/>
    </w:p>
    <w:p w14:paraId="1CFF9EBD" w14:textId="5D0C57ED" w:rsidR="00EF2783" w:rsidRPr="00EF2783" w:rsidRDefault="00EF2783" w:rsidP="00EF2783">
      <w:pPr>
        <w:rPr>
          <w:color w:val="FF0000"/>
          <w:lang w:val="es-ES"/>
        </w:rPr>
      </w:pPr>
      <w:r>
        <w:rPr>
          <w:color w:val="FF0000"/>
          <w:lang w:val="es-ES"/>
        </w:rPr>
        <w:t>(</w:t>
      </w:r>
      <w:r w:rsidRPr="00EF2783">
        <w:rPr>
          <w:color w:val="FF0000"/>
          <w:lang w:val="es-ES"/>
        </w:rPr>
        <w:t>TBD</w:t>
      </w:r>
      <w:r>
        <w:rPr>
          <w:color w:val="FF0000"/>
          <w:lang w:val="es-ES"/>
        </w:rPr>
        <w:t>)</w:t>
      </w:r>
    </w:p>
    <w:p w14:paraId="75F00792" w14:textId="29EABC59" w:rsidR="00535345" w:rsidRPr="00D300ED" w:rsidRDefault="00535345" w:rsidP="00535345">
      <w:pPr>
        <w:pStyle w:val="Caption"/>
        <w:keepNext/>
        <w:jc w:val="center"/>
        <w:rPr>
          <w:color w:val="auto"/>
        </w:rPr>
      </w:pPr>
      <w:bookmarkStart w:id="5" w:name="_Toc43575800"/>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
    </w:p>
    <w:p w14:paraId="34B72363" w14:textId="77777777" w:rsidR="001C4D2F" w:rsidRDefault="001C4D2F" w:rsidP="001C4D2F"/>
    <w:p w14:paraId="67938457" w14:textId="79477ED2" w:rsidR="00FA0B30" w:rsidRPr="00FA0B30" w:rsidRDefault="00FA0B30" w:rsidP="001C4D2F">
      <w:pPr>
        <w:pStyle w:val="Heading2"/>
      </w:pPr>
      <w:bookmarkStart w:id="6" w:name="_Toc43575719"/>
      <w:r>
        <w:t>Plan</w:t>
      </w:r>
      <w:r w:rsidR="001710AA">
        <w:t xml:space="preserve"> </w:t>
      </w:r>
      <w:r>
        <w:t>de</w:t>
      </w:r>
      <w:r w:rsidR="001710AA">
        <w:t xml:space="preserve"> </w:t>
      </w:r>
      <w:r w:rsidR="008363A0">
        <w:t xml:space="preserve">Verificación y </w:t>
      </w:r>
      <w:r w:rsidR="001C4D2F">
        <w:t>Validación</w:t>
      </w:r>
      <w:bookmarkEnd w:id="6"/>
      <w:r w:rsidR="008363A0">
        <w:t xml:space="preserve"> </w:t>
      </w:r>
    </w:p>
    <w:p w14:paraId="5D0FF905" w14:textId="2319F69E" w:rsidR="0006355A" w:rsidRPr="00832E04" w:rsidRDefault="0006355A" w:rsidP="00CD588D">
      <w:pPr>
        <w:rPr>
          <w:lang w:val="es-ES"/>
        </w:rPr>
      </w:pPr>
      <w:r w:rsidRPr="0006355A">
        <w:rPr>
          <w:color w:val="FF0000"/>
          <w:lang w:val="es-ES"/>
        </w:rPr>
        <w:t>(TBD)</w:t>
      </w:r>
    </w:p>
    <w:sectPr w:rsidR="0006355A" w:rsidRPr="00832E04" w:rsidSect="00EF2783">
      <w:footerReference w:type="defaul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8EA81" w14:textId="77777777" w:rsidR="00591800" w:rsidRDefault="00591800" w:rsidP="00A45553">
      <w:pPr>
        <w:spacing w:before="0" w:after="0"/>
      </w:pPr>
      <w:r>
        <w:separator/>
      </w:r>
    </w:p>
    <w:p w14:paraId="3DE91834" w14:textId="77777777" w:rsidR="00591800" w:rsidRDefault="00591800"/>
    <w:p w14:paraId="3252455A" w14:textId="77777777" w:rsidR="00591800" w:rsidRDefault="00591800" w:rsidP="001710AA"/>
  </w:endnote>
  <w:endnote w:type="continuationSeparator" w:id="0">
    <w:p w14:paraId="17A95CD0" w14:textId="77777777" w:rsidR="00591800" w:rsidRDefault="00591800" w:rsidP="00A45553">
      <w:pPr>
        <w:spacing w:before="0" w:after="0"/>
      </w:pPr>
      <w:r>
        <w:continuationSeparator/>
      </w:r>
    </w:p>
    <w:p w14:paraId="575A63FD" w14:textId="77777777" w:rsidR="00591800" w:rsidRDefault="00591800"/>
    <w:p w14:paraId="41BAC53D" w14:textId="77777777" w:rsidR="00591800" w:rsidRDefault="00591800"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103"/>
      <w:gridCol w:w="4111"/>
    </w:tblGrid>
    <w:tr w:rsidR="003B5E6D"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3B5E6D" w:rsidRDefault="003B5E6D">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3B5E6D" w:rsidRDefault="003B5E6D">
          <w:pPr>
            <w:pStyle w:val="Header"/>
            <w:tabs>
              <w:tab w:val="clear" w:pos="4680"/>
              <w:tab w:val="clear" w:pos="9360"/>
            </w:tabs>
            <w:jc w:val="right"/>
            <w:rPr>
              <w:caps/>
              <w:sz w:val="18"/>
            </w:rPr>
          </w:pPr>
        </w:p>
      </w:tc>
    </w:tr>
    <w:tr w:rsidR="003B5E6D" w14:paraId="33DB912D" w14:textId="77777777" w:rsidTr="00BB3719">
      <w:trPr>
        <w:jc w:val="center"/>
      </w:trPr>
      <w:tc>
        <w:tcPr>
          <w:tcW w:w="5103" w:type="dxa"/>
          <w:shd w:val="clear" w:color="auto" w:fill="auto"/>
          <w:vAlign w:val="center"/>
        </w:tcPr>
        <w:p w14:paraId="66B5C501" w14:textId="195FEC3E" w:rsidR="003B5E6D" w:rsidRDefault="003B5E6D"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F16E85">
            <w:rPr>
              <w:b/>
              <w:bCs/>
              <w:caps/>
              <w:noProof/>
              <w:color w:val="808080" w:themeColor="background1" w:themeShade="80"/>
              <w:sz w:val="18"/>
              <w:szCs w:val="18"/>
              <w:lang w:val="en-US"/>
            </w:rPr>
            <w:t>Error! No text of specified style in document.</w:t>
          </w:r>
          <w:r>
            <w:rPr>
              <w:caps/>
              <w:color w:val="808080" w:themeColor="background1" w:themeShade="80"/>
              <w:sz w:val="18"/>
              <w:szCs w:val="18"/>
            </w:rPr>
            <w:fldChar w:fldCharType="end"/>
          </w:r>
          <w:r w:rsidRPr="00F16E85">
            <w:rPr>
              <w:caps/>
              <w:color w:val="808080" w:themeColor="background1" w:themeShade="80"/>
              <w:sz w:val="18"/>
              <w:szCs w:val="18"/>
              <w:lang w:val="en-US"/>
            </w:rPr>
            <w:t xml:space="preserve">. </w:t>
          </w:r>
          <w:r>
            <w:rPr>
              <w:caps/>
              <w:color w:val="808080" w:themeColor="background1" w:themeShade="80"/>
              <w:sz w:val="18"/>
              <w:szCs w:val="18"/>
            </w:rPr>
            <w:fldChar w:fldCharType="begin"/>
          </w:r>
          <w:r w:rsidRPr="00F16E85">
            <w:rPr>
              <w:caps/>
              <w:color w:val="808080" w:themeColor="background1" w:themeShade="80"/>
              <w:sz w:val="18"/>
              <w:szCs w:val="18"/>
              <w:lang w:val="en-US"/>
            </w:rPr>
            <w:instrText xml:space="preserve"> STYLEREF  "Heading 1"  \* MERGEFORMAT </w:instrText>
          </w:r>
          <w:r>
            <w:rPr>
              <w:caps/>
              <w:color w:val="808080" w:themeColor="background1" w:themeShade="80"/>
              <w:sz w:val="18"/>
              <w:szCs w:val="18"/>
            </w:rPr>
            <w:fldChar w:fldCharType="separate"/>
          </w:r>
          <w:r w:rsidR="00F16E85">
            <w:rPr>
              <w:b/>
              <w:bCs/>
              <w:caps/>
              <w:noProof/>
              <w:color w:val="808080" w:themeColor="background1" w:themeShade="80"/>
              <w:sz w:val="18"/>
              <w:szCs w:val="18"/>
              <w:lang w:val="en-US"/>
            </w:rPr>
            <w:t>Error! No text of specified style in document.</w:t>
          </w:r>
          <w:r>
            <w:rPr>
              <w:caps/>
              <w:color w:val="808080" w:themeColor="background1" w:themeShade="80"/>
              <w:sz w:val="18"/>
              <w:szCs w:val="18"/>
            </w:rPr>
            <w:fldChar w:fldCharType="end"/>
          </w:r>
        </w:p>
      </w:tc>
      <w:tc>
        <w:tcPr>
          <w:tcW w:w="4111" w:type="dxa"/>
          <w:shd w:val="clear" w:color="auto" w:fill="auto"/>
          <w:vAlign w:val="center"/>
        </w:tcPr>
        <w:p w14:paraId="6653B1DE" w14:textId="1A193EAA" w:rsidR="003B5E6D" w:rsidRDefault="003B5E6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3B5E6D" w:rsidRDefault="003B5E6D"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164EE" w14:textId="77777777" w:rsidR="00591800" w:rsidRPr="00BF6454" w:rsidRDefault="00591800" w:rsidP="00A45553">
      <w:pPr>
        <w:spacing w:before="0" w:after="0"/>
        <w:rPr>
          <w:vanish/>
        </w:rPr>
      </w:pPr>
      <w:r w:rsidRPr="00BF6454">
        <w:rPr>
          <w:vanish/>
        </w:rPr>
        <w:separator/>
      </w:r>
    </w:p>
    <w:p w14:paraId="65D9E9AE" w14:textId="77777777" w:rsidR="00591800" w:rsidRDefault="00591800"/>
    <w:p w14:paraId="73E6B5B7" w14:textId="77777777" w:rsidR="00591800" w:rsidRDefault="00591800" w:rsidP="001710AA"/>
  </w:footnote>
  <w:footnote w:type="continuationSeparator" w:id="0">
    <w:p w14:paraId="5350B62F" w14:textId="77777777" w:rsidR="00591800" w:rsidRPr="00BF6454" w:rsidRDefault="00591800" w:rsidP="00A45553">
      <w:pPr>
        <w:spacing w:before="0" w:after="0"/>
        <w:rPr>
          <w:vanish/>
        </w:rPr>
      </w:pPr>
      <w:r w:rsidRPr="00BF6454">
        <w:rPr>
          <w:vanish/>
        </w:rPr>
        <w:continuationSeparator/>
      </w:r>
    </w:p>
    <w:p w14:paraId="5A6A1E30" w14:textId="77777777" w:rsidR="00591800" w:rsidRDefault="00591800"/>
    <w:p w14:paraId="3414ED9B" w14:textId="77777777" w:rsidR="00591800" w:rsidRDefault="00591800" w:rsidP="001710AA"/>
  </w:footnote>
  <w:footnote w:type="continuationNotice" w:id="1">
    <w:p w14:paraId="7BE623F9" w14:textId="77777777" w:rsidR="00591800" w:rsidRPr="00BF6454" w:rsidRDefault="00591800">
      <w:pPr>
        <w:spacing w:before="0" w:after="0"/>
        <w:rPr>
          <w:vanish/>
        </w:rPr>
      </w:pPr>
    </w:p>
    <w:p w14:paraId="46FF100D" w14:textId="77777777" w:rsidR="00591800" w:rsidRDefault="00591800"/>
    <w:p w14:paraId="4217A1A8" w14:textId="77777777" w:rsidR="00591800" w:rsidRDefault="00591800" w:rsidP="00171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50813"/>
    <w:multiLevelType w:val="hybridMultilevel"/>
    <w:tmpl w:val="3EBC24F8"/>
    <w:lvl w:ilvl="0" w:tplc="77E2B256">
      <w:numFmt w:val="bullet"/>
      <w:lvlText w:val="-"/>
      <w:lvlJc w:val="left"/>
      <w:pPr>
        <w:ind w:left="360" w:hanging="360"/>
      </w:pPr>
      <w:rPr>
        <w:rFonts w:ascii="Calibri" w:eastAsiaTheme="maj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2669A"/>
    <w:multiLevelType w:val="multilevel"/>
    <w:tmpl w:val="057CC68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9"/>
  </w:num>
  <w:num w:numId="4">
    <w:abstractNumId w:val="19"/>
  </w:num>
  <w:num w:numId="5">
    <w:abstractNumId w:val="6"/>
  </w:num>
  <w:num w:numId="6">
    <w:abstractNumId w:val="15"/>
  </w:num>
  <w:num w:numId="7">
    <w:abstractNumId w:val="4"/>
  </w:num>
  <w:num w:numId="8">
    <w:abstractNumId w:val="1"/>
  </w:num>
  <w:num w:numId="9">
    <w:abstractNumId w:val="16"/>
  </w:num>
  <w:num w:numId="10">
    <w:abstractNumId w:val="8"/>
  </w:num>
  <w:num w:numId="11">
    <w:abstractNumId w:val="17"/>
  </w:num>
  <w:num w:numId="12">
    <w:abstractNumId w:val="17"/>
  </w:num>
  <w:num w:numId="13">
    <w:abstractNumId w:val="21"/>
  </w:num>
  <w:num w:numId="14">
    <w:abstractNumId w:val="20"/>
  </w:num>
  <w:num w:numId="15">
    <w:abstractNumId w:val="13"/>
  </w:num>
  <w:num w:numId="16">
    <w:abstractNumId w:val="14"/>
  </w:num>
  <w:num w:numId="17">
    <w:abstractNumId w:val="7"/>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3"/>
  </w:num>
  <w:num w:numId="25">
    <w:abstractNumId w:val="18"/>
  </w:num>
  <w:num w:numId="26">
    <w:abstractNumId w:val="2"/>
  </w:num>
  <w:num w:numId="27">
    <w:abstractNumId w:val="0"/>
  </w:num>
  <w:num w:numId="28">
    <w:abstractNumId w:val="11"/>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2614"/>
    <w:rsid w:val="00041ED8"/>
    <w:rsid w:val="000436D2"/>
    <w:rsid w:val="0005443D"/>
    <w:rsid w:val="00055427"/>
    <w:rsid w:val="0006314C"/>
    <w:rsid w:val="0006355A"/>
    <w:rsid w:val="00074E87"/>
    <w:rsid w:val="00076618"/>
    <w:rsid w:val="000830F0"/>
    <w:rsid w:val="00091CED"/>
    <w:rsid w:val="000C02CE"/>
    <w:rsid w:val="000D2FE0"/>
    <w:rsid w:val="000D36E1"/>
    <w:rsid w:val="000E67CC"/>
    <w:rsid w:val="000F2778"/>
    <w:rsid w:val="00100B9D"/>
    <w:rsid w:val="0010570E"/>
    <w:rsid w:val="00106AB4"/>
    <w:rsid w:val="00130DD3"/>
    <w:rsid w:val="0014566A"/>
    <w:rsid w:val="001552D1"/>
    <w:rsid w:val="00170FB2"/>
    <w:rsid w:val="001710AA"/>
    <w:rsid w:val="00180F73"/>
    <w:rsid w:val="0019044F"/>
    <w:rsid w:val="001A053C"/>
    <w:rsid w:val="001B34B5"/>
    <w:rsid w:val="001C4D2F"/>
    <w:rsid w:val="001E3688"/>
    <w:rsid w:val="001F7A65"/>
    <w:rsid w:val="00201705"/>
    <w:rsid w:val="00204DC0"/>
    <w:rsid w:val="002133F4"/>
    <w:rsid w:val="002166F1"/>
    <w:rsid w:val="002206E0"/>
    <w:rsid w:val="00220CE6"/>
    <w:rsid w:val="00222496"/>
    <w:rsid w:val="00222DF2"/>
    <w:rsid w:val="0022381F"/>
    <w:rsid w:val="00267EC6"/>
    <w:rsid w:val="002730D3"/>
    <w:rsid w:val="002A2D94"/>
    <w:rsid w:val="002B0083"/>
    <w:rsid w:val="002D4391"/>
    <w:rsid w:val="002E5720"/>
    <w:rsid w:val="00301BEC"/>
    <w:rsid w:val="00302F38"/>
    <w:rsid w:val="00310FBC"/>
    <w:rsid w:val="00315224"/>
    <w:rsid w:val="003217FF"/>
    <w:rsid w:val="00325F25"/>
    <w:rsid w:val="00334EF8"/>
    <w:rsid w:val="003651EB"/>
    <w:rsid w:val="0039331F"/>
    <w:rsid w:val="003A1CD1"/>
    <w:rsid w:val="003B0FBE"/>
    <w:rsid w:val="003B52AE"/>
    <w:rsid w:val="003B5E6D"/>
    <w:rsid w:val="003B74AE"/>
    <w:rsid w:val="003E28B7"/>
    <w:rsid w:val="003F7C4A"/>
    <w:rsid w:val="004018E6"/>
    <w:rsid w:val="00407CAD"/>
    <w:rsid w:val="00411F55"/>
    <w:rsid w:val="0041348D"/>
    <w:rsid w:val="00423E22"/>
    <w:rsid w:val="00445904"/>
    <w:rsid w:val="00453F65"/>
    <w:rsid w:val="00457FD4"/>
    <w:rsid w:val="00461B60"/>
    <w:rsid w:val="00465711"/>
    <w:rsid w:val="00470525"/>
    <w:rsid w:val="00470836"/>
    <w:rsid w:val="004713B8"/>
    <w:rsid w:val="0047257F"/>
    <w:rsid w:val="00490B2E"/>
    <w:rsid w:val="004A26FF"/>
    <w:rsid w:val="004A3DC8"/>
    <w:rsid w:val="004C28FF"/>
    <w:rsid w:val="004C2AC2"/>
    <w:rsid w:val="004C5068"/>
    <w:rsid w:val="004F234D"/>
    <w:rsid w:val="004F5717"/>
    <w:rsid w:val="00504212"/>
    <w:rsid w:val="0052680B"/>
    <w:rsid w:val="00535345"/>
    <w:rsid w:val="005440C7"/>
    <w:rsid w:val="0056048D"/>
    <w:rsid w:val="00561A45"/>
    <w:rsid w:val="00591800"/>
    <w:rsid w:val="00592829"/>
    <w:rsid w:val="00594675"/>
    <w:rsid w:val="00594EB6"/>
    <w:rsid w:val="005A4123"/>
    <w:rsid w:val="005A76E9"/>
    <w:rsid w:val="005A7DE4"/>
    <w:rsid w:val="005D4D34"/>
    <w:rsid w:val="005D7FF7"/>
    <w:rsid w:val="005E4AB3"/>
    <w:rsid w:val="005F56AD"/>
    <w:rsid w:val="00607A60"/>
    <w:rsid w:val="00612A3F"/>
    <w:rsid w:val="00616B62"/>
    <w:rsid w:val="00636D77"/>
    <w:rsid w:val="00670632"/>
    <w:rsid w:val="00670B3B"/>
    <w:rsid w:val="00677440"/>
    <w:rsid w:val="006A6AC2"/>
    <w:rsid w:val="006B62D8"/>
    <w:rsid w:val="006E7A3A"/>
    <w:rsid w:val="0070067D"/>
    <w:rsid w:val="00701EEE"/>
    <w:rsid w:val="0071778D"/>
    <w:rsid w:val="007215EE"/>
    <w:rsid w:val="007519DF"/>
    <w:rsid w:val="00751C8C"/>
    <w:rsid w:val="007604E4"/>
    <w:rsid w:val="00764B84"/>
    <w:rsid w:val="007711CB"/>
    <w:rsid w:val="0079239D"/>
    <w:rsid w:val="007A7E8B"/>
    <w:rsid w:val="007D274C"/>
    <w:rsid w:val="007D6AD1"/>
    <w:rsid w:val="007E1D29"/>
    <w:rsid w:val="007E4DB8"/>
    <w:rsid w:val="007E70E4"/>
    <w:rsid w:val="007F5D2A"/>
    <w:rsid w:val="00801F72"/>
    <w:rsid w:val="008162BA"/>
    <w:rsid w:val="0082179E"/>
    <w:rsid w:val="00822E32"/>
    <w:rsid w:val="00832E04"/>
    <w:rsid w:val="00833773"/>
    <w:rsid w:val="008363A0"/>
    <w:rsid w:val="00840157"/>
    <w:rsid w:val="00860DD2"/>
    <w:rsid w:val="0086601D"/>
    <w:rsid w:val="00866D32"/>
    <w:rsid w:val="00866E91"/>
    <w:rsid w:val="00872E71"/>
    <w:rsid w:val="0087376F"/>
    <w:rsid w:val="00882D9B"/>
    <w:rsid w:val="008A0F2A"/>
    <w:rsid w:val="008C6AD5"/>
    <w:rsid w:val="008E1CE7"/>
    <w:rsid w:val="00907C2D"/>
    <w:rsid w:val="009162B5"/>
    <w:rsid w:val="00916602"/>
    <w:rsid w:val="00934A2B"/>
    <w:rsid w:val="009367D1"/>
    <w:rsid w:val="009578DB"/>
    <w:rsid w:val="00960438"/>
    <w:rsid w:val="009648B2"/>
    <w:rsid w:val="00975940"/>
    <w:rsid w:val="009769BC"/>
    <w:rsid w:val="00990C3E"/>
    <w:rsid w:val="009B7FE6"/>
    <w:rsid w:val="009C2B33"/>
    <w:rsid w:val="009F493A"/>
    <w:rsid w:val="00A0108E"/>
    <w:rsid w:val="00A104EA"/>
    <w:rsid w:val="00A40423"/>
    <w:rsid w:val="00A45553"/>
    <w:rsid w:val="00A6204D"/>
    <w:rsid w:val="00A71D8E"/>
    <w:rsid w:val="00AA6DCE"/>
    <w:rsid w:val="00AB1EA5"/>
    <w:rsid w:val="00AD395A"/>
    <w:rsid w:val="00AE30B1"/>
    <w:rsid w:val="00AF2A52"/>
    <w:rsid w:val="00AF674D"/>
    <w:rsid w:val="00AF7CE3"/>
    <w:rsid w:val="00B02DE3"/>
    <w:rsid w:val="00B0384C"/>
    <w:rsid w:val="00B141BC"/>
    <w:rsid w:val="00B211ED"/>
    <w:rsid w:val="00B22693"/>
    <w:rsid w:val="00B23FD3"/>
    <w:rsid w:val="00B2506E"/>
    <w:rsid w:val="00B35C0B"/>
    <w:rsid w:val="00B44607"/>
    <w:rsid w:val="00B561C4"/>
    <w:rsid w:val="00B6131C"/>
    <w:rsid w:val="00B76171"/>
    <w:rsid w:val="00B85A60"/>
    <w:rsid w:val="00B95429"/>
    <w:rsid w:val="00BB0756"/>
    <w:rsid w:val="00BB1D7C"/>
    <w:rsid w:val="00BB3719"/>
    <w:rsid w:val="00BC572A"/>
    <w:rsid w:val="00BD649A"/>
    <w:rsid w:val="00BE140D"/>
    <w:rsid w:val="00BE4A46"/>
    <w:rsid w:val="00BE6441"/>
    <w:rsid w:val="00BF15E2"/>
    <w:rsid w:val="00BF6454"/>
    <w:rsid w:val="00C2040D"/>
    <w:rsid w:val="00C30EAA"/>
    <w:rsid w:val="00C316B5"/>
    <w:rsid w:val="00C61308"/>
    <w:rsid w:val="00C66895"/>
    <w:rsid w:val="00C83AD0"/>
    <w:rsid w:val="00C9138D"/>
    <w:rsid w:val="00C9285A"/>
    <w:rsid w:val="00C94B71"/>
    <w:rsid w:val="00C97A49"/>
    <w:rsid w:val="00CB62E2"/>
    <w:rsid w:val="00CC60CE"/>
    <w:rsid w:val="00CD38C2"/>
    <w:rsid w:val="00CD4304"/>
    <w:rsid w:val="00CD48B2"/>
    <w:rsid w:val="00CD588D"/>
    <w:rsid w:val="00CE08A6"/>
    <w:rsid w:val="00CE4020"/>
    <w:rsid w:val="00CF61E2"/>
    <w:rsid w:val="00D214BE"/>
    <w:rsid w:val="00D256A6"/>
    <w:rsid w:val="00D300ED"/>
    <w:rsid w:val="00D36AD9"/>
    <w:rsid w:val="00D66418"/>
    <w:rsid w:val="00D84204"/>
    <w:rsid w:val="00D86C83"/>
    <w:rsid w:val="00D95CA3"/>
    <w:rsid w:val="00DA6138"/>
    <w:rsid w:val="00DA618A"/>
    <w:rsid w:val="00DB4393"/>
    <w:rsid w:val="00DD04E9"/>
    <w:rsid w:val="00DE13C1"/>
    <w:rsid w:val="00DE3A7C"/>
    <w:rsid w:val="00DE7416"/>
    <w:rsid w:val="00E0051E"/>
    <w:rsid w:val="00E0783F"/>
    <w:rsid w:val="00E26392"/>
    <w:rsid w:val="00E2717E"/>
    <w:rsid w:val="00E4448F"/>
    <w:rsid w:val="00E6358D"/>
    <w:rsid w:val="00E64072"/>
    <w:rsid w:val="00E6746D"/>
    <w:rsid w:val="00E67CC1"/>
    <w:rsid w:val="00E7139F"/>
    <w:rsid w:val="00E97A54"/>
    <w:rsid w:val="00EA4077"/>
    <w:rsid w:val="00EA5B5C"/>
    <w:rsid w:val="00EC1EFB"/>
    <w:rsid w:val="00EC6A8D"/>
    <w:rsid w:val="00EE5F6A"/>
    <w:rsid w:val="00EE6226"/>
    <w:rsid w:val="00EF2783"/>
    <w:rsid w:val="00EF6F21"/>
    <w:rsid w:val="00F02725"/>
    <w:rsid w:val="00F02CEC"/>
    <w:rsid w:val="00F041F7"/>
    <w:rsid w:val="00F16E85"/>
    <w:rsid w:val="00F30310"/>
    <w:rsid w:val="00F50186"/>
    <w:rsid w:val="00F834D3"/>
    <w:rsid w:val="00F97B4F"/>
    <w:rsid w:val="00FA0B30"/>
    <w:rsid w:val="00FC2E68"/>
    <w:rsid w:val="00FC3749"/>
    <w:rsid w:val="00FE3073"/>
    <w:rsid w:val="00FE3ED4"/>
    <w:rsid w:val="00FE4F73"/>
    <w:rsid w:val="00FF0BA5"/>
    <w:rsid w:val="00FF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565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12</cp:revision>
  <dcterms:created xsi:type="dcterms:W3CDTF">2020-07-29T12:53:00Z</dcterms:created>
  <dcterms:modified xsi:type="dcterms:W3CDTF">2020-09-29T20:32:00Z</dcterms:modified>
</cp:coreProperties>
</file>