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DNA ANAL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VE HASTALIK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IKARIMI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tahya Sa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 Bilimleri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niversitesi</w:t>
        <w:br/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hendislik ve 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 Fak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ltesi</w:t>
        <w:br/>
        <w:t xml:space="preserve">Bilgisayar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hendisli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Mert Can Kabak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- 2218121021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ZET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 projede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rmac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veya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lerin gen haritas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incelemelerini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layan ve bundan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mlar yapabilecekleri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r. Proje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ilerin hangi hastal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klara yatk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olduklar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gen haritas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inceleyip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 algoritmalar kullanarak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rmac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zerinde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rma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labilecek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lar sunabilmekte ayr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 verimlilik hedefine yatk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ekilde veri 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nda tutulan veriler ile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ilerin hangi hastal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klara yatk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olduklar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ya sunabilmektedir. Bir sonraki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ama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makine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reniminden yararlan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 bu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lemleri yapay zeka kullanarak otomatik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erlendirmeler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lar vermesini planl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yoruz.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İŞ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Genom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ok uzun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reden beri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lan zamanla da hem ucuzlam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hemde yat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katlanarak artm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bir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 konusudur. Hastal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klara 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yeni ila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retimi, yeni tedavi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ntemleri konusunda potansiyeli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ksek bir alan. Sekt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 giderek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yor ve yat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mlar da art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yor bu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zden ilgimizi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ekti ve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rmaya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nca konu gittik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 derinle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ti ve ekip olarak bu konunun bilgisayar ve yaz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 teknolojilerinden yararlanabilece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 ve bir proje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turmaya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k. Projemiz ile genini analiz etti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imiz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inin hangi hastal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klara yatk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var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bunu belirleyip bu tarz projelere bir altarnatif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turmaya karar verdik.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ETARYAL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NTEMLER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 projede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 neredeyse tamamen tek bir kayanktan yararland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k, bunun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rmalar yapt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ka kaynaklar da oldu. 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ok yararland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 kaynak National Library of Medicine burada Human Genom Project 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turulan kaynaklar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okca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imize yarad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inceledi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imiz fasta ve gff dosyalar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burdan temin ettik,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burdaki makalelerden yapt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 ve sitenin 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Primer Blast vb. toollar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kullanarak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derinle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tirdik.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DNA testlerinin nas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rken 3 farkl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 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fettim bunlar ;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 The whole shebang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 Focus on the proteins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3. The minimalist approach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saca anlatmak gerekirse 1.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ntemde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 DNA inceleniyor , 2.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ntemde proteinlerin sentezinde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rev alan mRNA'lar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olan exonlar inceleniyor. 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ise bizim projemizde kullanmay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tercih etti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imiz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ntem. Bu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 exonlar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dan bile daha derine inip exonlar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turan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kleotitlerdeki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iklere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 sonu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lar veriyor. Bu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ntemi kullanmak hem veri depolama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ndan hemde zaman kayb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azaltt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ndan dolay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projemiz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ok verimli oldu.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844" w:dyaOrig="2783">
          <v:rect xmlns:o="urn:schemas-microsoft-com:office:office" xmlns:v="urn:schemas-microsoft-com:vml" id="rectole0000000000" style="width:442.200000pt;height:13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SONU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IKARIMLAR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 anda proje sadece gen21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zerinde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yor gen21'in gff dosyas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databasede tutuyor ve bunun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zerinden exonlar ile alakal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veri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yapabiliyor, hasta kay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 yapabiliyor ve dna 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yapabiliyor. Proje ilerde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 genlerde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 yapt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verileri grafiklere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cek ve hasta ekleme silmede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tirmeler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cak, 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 algoritmas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tirmeler olucak. Sonu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olarak piyasa taleplerini 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layabilecek,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rmalarda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rmac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ini kolayla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cak,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ilerin genlerinden ald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bilgiler ile hangi hastal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klara yatk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 olduklar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konusunda bilin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lendiricek bir proje olucak tamamland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nda.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 Ortaklar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Bilal Emre Taydas </w:t>
        <w:br/>
        <w:t xml:space="preserve">Enes Civan</w:t>
        <w:br/>
        <w:t xml:space="preserve">Mehmet Serdar Koz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KAYNAK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https://www.ncbi.nlm.nih.gov/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https://www.genome.gov/human-genome-project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https://www.snexplores.org/article/explainer-how-dna-testing-works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genome.gov/human-genome-project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ncbi.nlm.nih.gov/" Id="docRId2" Type="http://schemas.openxmlformats.org/officeDocument/2006/relationships/hyperlink" /><Relationship TargetMode="External" Target="https://www.snexplores.org/article/explainer-how-dna-testing-works" Id="docRId4" Type="http://schemas.openxmlformats.org/officeDocument/2006/relationships/hyperlink" /><Relationship Target="styles.xml" Id="docRId6" Type="http://schemas.openxmlformats.org/officeDocument/2006/relationships/styles" /></Relationships>
</file>