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2F5496"/>
          <w:sz w:val="60"/>
        </w:rPr>
        <w:t>Technische Dokumentation</w:t>
      </w:r>
    </w:p>
    <w:p>
      <w:pPr>
        <w:jc w:val="center"/>
      </w:pPr>
      <w:r>
        <w:rPr>
          <w:color w:val="555555"/>
          <w:sz w:val="32"/>
        </w:rPr>
        <w:t>Vergleichsportal für Gymivorbereitungskurse</w:t>
        <w:br/>
        <w:t>(Web-Scraping-Vergleich)</w:t>
      </w:r>
    </w:p>
    <w:p>
      <w:pPr>
        <w:spacing w:before="800"/>
        <w:jc w:val="center"/>
      </w:pPr>
      <w:r>
        <w:rPr>
          <w:color w:val="555555"/>
          <w:sz w:val="22"/>
        </w:rPr>
        <w:t>Abgeleitet aus der Bachelorarbeit von Stefania Tamara (Berner Fachhochschule, 2026)</w:t>
        <w:br/>
        <w:t>und dem aktuellen Code-Stand im Repository.</w:t>
        <w:br/>
        <w:t>Stand: 08.08.2026</w:t>
      </w:r>
    </w:p>
    <w:p>
      <w:r>
        <w:br w:type="page"/>
      </w:r>
    </w:p>
    <w:p>
      <w:r>
        <w:rPr>
          <w:b/>
          <w:color w:val="2F5496"/>
          <w:sz w:val="36"/>
        </w:rPr>
        <w:t>Inhaltsverzeichnis</w:t>
      </w:r>
    </w:p>
    <w:p>
      <w:r>
        <w:fldChar w:fldCharType="begin" w:dirty="true"/>
      </w:r>
      <w:r>
        <w:instrText xml:space="preserve">TOC \o "1-3" \h \z \u</w:instrText>
      </w:r>
      <w:r>
        <w:fldChar w:fldCharType="separate"/>
      </w:r>
      <w:r>
        <w:rPr>
          <w:i/>
          <w:color w:val="555555"/>
        </w:rPr>
        <w:t>Inhaltsverzeichnis wird beim ersten Oeffnen automatisch aktualisiert (sonst: rechtsklicken -&gt; Felder aktualisieren).</w:t>
      </w:r>
      <w:r>
        <w:fldChar w:fldCharType="end"/>
      </w:r>
    </w:p>
    <w:p>
      <w:r>
        <w:br w:type="page"/>
      </w:r>
    </w:p>
    <w:p>
      <w:pPr>
        <w:pStyle w:val="Heading1"/>
      </w:pPr>
      <w:r>
        <w:t>1. Einleitung</w:t>
      </w:r>
    </w:p>
    <w:p>
      <w:r>
        <w:t>Dieses Dokument ist die technische Dokumentation des Vergleichsportals für Gymivorbereitungskurse, das im Rahmen der Bachelorarbeit „Web-scraping: Comparison portal for providers of grammar school preparation courses“ (Stefania Tamara, Berner Fachhochschule, 2026) entstanden ist. Es richtet sich an zwei Zielgruppen: neue Entwickler:innen, die sich in den Code einarbeiten und ihn weiterentwickeln oder warten sollen, sowie Nutzer:innen der Anwendung, die verstehen wollen, wie das Portal bedient wird.</w:t>
      </w:r>
    </w:p>
    <w:p>
      <w:r>
        <w:t>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etwa weil sich eine externe Website verändert hat oder ein Bug behoben wurde – orientiert sich dieses Dokument am aktuellen Code, nicht am BT-Stand. Abweichungen sind jeweils explizit vermerkt.</w:t>
      </w:r>
    </w:p>
    <w:p>
      <w:pPr>
        <w:pStyle w:val="Heading2"/>
      </w:pPr>
      <w:r>
        <w:t>1.1 Was ist das Projekt?</w:t>
      </w:r>
    </w:p>
    <w:p>
      <w:r>
        <w:t>Das Portal vergleicht Anbieter von Gymivorbereitungskursen im Kanton Zürich (Vorbereitung auf die ZAP-Aufnahmeprüfung fürs Langzeit- bzw. Kurzzeitgymnasium). Kursdaten von 12 Anbietern werden automatisiert von deren Websites gesammelt („gescraped“) und in einer Supabase-Datenbank abgelegt. Eine Next.js-Webanwendung zeigt diese Daten an, erlaubt eine gewichtete Nutzwertanalyse (Multi-Criteria Decision Analysis, MCDA) und den direkten Vergleich von bis zu drei Anbietern.</w:t>
      </w:r>
    </w:p>
    <w:p>
      <w:r>
        <w:t>Der fachlich interessante Kern des Projekts ist der Vergleich dreier grundverschiedener Scraping-Ansätze für dieselbe Aufgabe: klassisches DOM-Scraping mit Puppeteer, ein verwalteter Cloud-Scraping-Dienst (Bright Data) und LLM-gesteuertes Scraping mit ScrapeGraphAI. Alle drei schreiben in dieselbe Datenbank und sind über ein gemeinsames Feld (scraper_method) unterscheidbar, sodass sich ihre Ergebnisse direkt vergleichen lassen.</w:t>
      </w:r>
    </w:p>
    <w:p>
      <w:pPr>
        <w:pStyle w:val="Heading2"/>
      </w:pPr>
      <w:r>
        <w:t>1.2 Aufbau dieses Dokuments</w:t>
      </w:r>
    </w:p>
    <w:p>
      <w: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pPr>
        <w:spacing w:before="120" w:after="200"/>
        <w:ind w:left="227"/>
        <w:pBdr>
          <w:left w:val="single" w:sz="18" w:space="8" w:color="2F5496"/>
        </w:pBdr>
        <w:shd w:val="clear" w:color="auto" w:fill="EEF2FA"/>
      </w:pPr>
      <w:r>
        <w:rPr>
          <w:b/>
          <w:color w:val="2F5496"/>
        </w:rPr>
        <w:t xml:space="preserve">Hinweis: </w:t>
      </w:r>
      <w: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pPr>
        <w:pStyle w:val="Heading1"/>
      </w:pPr>
      <w:r>
        <w:t>2. Systemüberblick &amp; Architektur</w:t>
      </w:r>
    </w:p>
    <w:p>
      <w:r>
        <w:t>Das Projekt besteht aus zwei getrennten Teilen, die ausschliesslich über die Supabase-Datenbank kommunizieren: der Next.js-Webanwendung (app/, components/, hooks/, lib/, utils/, schemas/, stores/) und der Scraping-Pipeline (scraping/),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pPr>
        <w:pStyle w:val="Heading2"/>
      </w:pPr>
      <w:r>
        <w:t>2.1 Die fünf Schichten der Webanwendung</w:t>
      </w:r>
    </w:p>
    <w:p>
      <w:r>
        <w:t>Der Code der Webanwendung folgt einer klaren Schichtenaufteilung. Das erleichtert es, sich zu orientieren: Wer z. B. wissen will, wie ein Score berechnet wird, muss nicht in der UI suchen, sondern findet die Logik in der Business-Logic-Schicht.</w:t>
      </w:r>
    </w:p>
    <w:p>
      <w:pPr>
        <w:pStyle w:val="Caption2"/>
        <w:spacing w:after="40"/>
      </w:pPr>
      <w:r>
        <w:t>Tabelle 1: Schichtenarchitektur der Webanwendung</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Schicht</w:t>
            </w:r>
          </w:p>
        </w:tc>
        <w:tc>
          <w:tcPr>
            <w:tcW w:type="dxa" w:w="3135"/>
            <w:shd w:val="clear" w:color="auto" w:fill="2F5496"/>
          </w:tcPr>
          <w:p>
            <w:r/>
            <w:r>
              <w:rPr>
                <w:b/>
                <w:color w:val="FFFFFF"/>
                <w:sz w:val="19"/>
              </w:rPr>
              <w:t>Ordner</w:t>
            </w:r>
          </w:p>
        </w:tc>
        <w:tc>
          <w:tcPr>
            <w:tcW w:type="dxa" w:w="3135"/>
            <w:shd w:val="clear" w:color="auto" w:fill="2F5496"/>
          </w:tcPr>
          <w:p>
            <w:r/>
            <w:r>
              <w:rPr>
                <w:b/>
                <w:color w:val="FFFFFF"/>
                <w:sz w:val="19"/>
              </w:rPr>
              <w:t>Zweck</w:t>
            </w:r>
          </w:p>
        </w:tc>
      </w:tr>
      <w:tr>
        <w:tc>
          <w:tcPr>
            <w:tcW w:type="dxa" w:w="3135"/>
          </w:tcPr>
          <w:p>
            <w:r/>
            <w:r>
              <w:rPr>
                <w:sz w:val="19"/>
              </w:rPr>
              <w:t>Presentation</w:t>
            </w:r>
          </w:p>
        </w:tc>
        <w:tc>
          <w:tcPr>
            <w:tcW w:type="dxa" w:w="3135"/>
          </w:tcPr>
          <w:p>
            <w:r/>
            <w:r>
              <w:rPr>
                <w:sz w:val="19"/>
              </w:rPr>
              <w:t>app/[locale]/, components/</w:t>
            </w:r>
          </w:p>
        </w:tc>
        <w:tc>
          <w:tcPr>
            <w:tcW w:type="dxa" w:w="3135"/>
          </w:tcPr>
          <w:p>
            <w:r/>
            <w:r>
              <w:rPr>
                <w:sz w:val="19"/>
              </w:rPr>
              <w:t>Seiten (Server Components) und wiederverwendbare UI-Bausteine</w:t>
            </w:r>
          </w:p>
        </w:tc>
      </w:tr>
      <w:tr>
        <w:tc>
          <w:tcPr>
            <w:tcW w:type="dxa" w:w="3135"/>
          </w:tcPr>
          <w:p>
            <w:r/>
            <w:r>
              <w:rPr>
                <w:sz w:val="19"/>
              </w:rPr>
              <w:t>State</w:t>
            </w:r>
          </w:p>
        </w:tc>
        <w:tc>
          <w:tcPr>
            <w:tcW w:type="dxa" w:w="3135"/>
          </w:tcPr>
          <w:p>
            <w:r/>
            <w:r>
              <w:rPr>
                <w:sz w:val="19"/>
              </w:rPr>
              <w:t>stores/</w:t>
            </w:r>
          </w:p>
        </w:tc>
        <w:tc>
          <w:tcPr>
            <w:tcW w:type="dxa" w:w="3135"/>
          </w:tcPr>
          <w:p>
            <w:r/>
            <w:r>
              <w:rPr>
                <w:sz w:val="19"/>
              </w:rPr>
              <w:t>Client-seitiger, persistenter Zustand (Zustand-Bibliothek, siehe Kap. 9.2)</w:t>
            </w:r>
          </w:p>
        </w:tc>
      </w:tr>
      <w:tr>
        <w:tc>
          <w:tcPr>
            <w:tcW w:type="dxa" w:w="3135"/>
          </w:tcPr>
          <w:p>
            <w:r/>
            <w:r>
              <w:rPr>
                <w:sz w:val="19"/>
              </w:rPr>
              <w:t>Business-Logik</w:t>
            </w:r>
          </w:p>
        </w:tc>
        <w:tc>
          <w:tcPr>
            <w:tcW w:type="dxa" w:w="3135"/>
          </w:tcPr>
          <w:p>
            <w:r/>
            <w:r>
              <w:rPr>
                <w:sz w:val="19"/>
              </w:rPr>
              <w:t>lib/, utils/</w:t>
            </w:r>
          </w:p>
        </w:tc>
        <w:tc>
          <w:tcPr>
            <w:tcW w:type="dxa" w:w="3135"/>
          </w:tcPr>
          <w:p>
            <w:r/>
            <w:r>
              <w:rPr>
                <w:sz w:val="19"/>
              </w:rPr>
              <w:t>MCDA-Scoring (adaptProviders.ts), Formatierungshilfen</w:t>
            </w:r>
          </w:p>
        </w:tc>
      </w:tr>
      <w:tr>
        <w:tc>
          <w:tcPr>
            <w:tcW w:type="dxa" w:w="3135"/>
          </w:tcPr>
          <w:p>
            <w:r/>
            <w:r>
              <w:rPr>
                <w:sz w:val="19"/>
              </w:rPr>
              <w:t>Validierung</w:t>
            </w:r>
          </w:p>
        </w:tc>
        <w:tc>
          <w:tcPr>
            <w:tcW w:type="dxa" w:w="3135"/>
          </w:tcPr>
          <w:p>
            <w:r/>
            <w:r>
              <w:rPr>
                <w:sz w:val="19"/>
              </w:rPr>
              <w:t>schemas/</w:t>
            </w:r>
          </w:p>
        </w:tc>
        <w:tc>
          <w:tcPr>
            <w:tcW w:type="dxa" w:w="3135"/>
          </w:tcPr>
          <w:p>
            <w:r/>
            <w:r>
              <w:rPr>
                <w:sz w:val="19"/>
              </w:rPr>
              <w:t>Zod-Schemas als Laufzeitgrenze zwischen DB und UI (siehe Kap. 9.1)</w:t>
            </w:r>
          </w:p>
        </w:tc>
      </w:tr>
      <w:tr>
        <w:tc>
          <w:tcPr>
            <w:tcW w:type="dxa" w:w="3135"/>
          </w:tcPr>
          <w:p>
            <w:r/>
            <w:r>
              <w:rPr>
                <w:sz w:val="19"/>
              </w:rPr>
              <w:t>Datenzugriff</w:t>
            </w:r>
          </w:p>
        </w:tc>
        <w:tc>
          <w:tcPr>
            <w:tcW w:type="dxa" w:w="3135"/>
          </w:tcPr>
          <w:p>
            <w:r/>
            <w:r>
              <w:rPr>
                <w:sz w:val="19"/>
              </w:rPr>
              <w:t>utils/supabase/, hooks/</w:t>
            </w:r>
          </w:p>
        </w:tc>
        <w:tc>
          <w:tcPr>
            <w:tcW w:type="dxa" w:w="3135"/>
          </w:tcPr>
          <w:p>
            <w:r/>
            <w:r>
              <w:rPr>
                <w:sz w:val="19"/>
              </w:rPr>
              <w:t>Server-/Client-Supabase-Clients, Realtime-Hook</w:t>
            </w:r>
          </w:p>
        </w:tc>
      </w:tr>
    </w:tbl>
    <w:p>
      <w:pPr>
        <w:spacing w:after="200"/>
      </w:pPr>
    </w:p>
    <w:p>
      <w:pPr>
        <w:pStyle w:val="Heading2"/>
      </w:pPr>
      <w:r>
        <w:t>2.2 Seitenstruktur (app/[locale]/)</w:t>
      </w:r>
    </w:p>
    <w:p>
      <w:r>
        <w:t>Alle Seiten liegen unter app/[locale]/ und werden von next-intl lokalisiert; jede URL trägt zwingend ein Sprachpräfix (/de/... oder /en/...). Es gibt keine eigene REST-API im Projekt (siehe Kapitel 12) – jede Seite ist eine Server Component, die direkt per Supabase-Client Daten lädt, durch die passenden Zod-Schemas validiert und rendert.</w:t>
      </w:r>
    </w:p>
    <w:p>
      <w:pPr>
        <w:pStyle w:val="Caption2"/>
        <w:spacing w:after="40"/>
      </w:pPr>
      <w:r>
        <w:t>Tabelle 2: Seitenstruktur und Routen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Route</w:t>
            </w:r>
          </w:p>
        </w:tc>
        <w:tc>
          <w:tcPr>
            <w:tcW w:type="dxa" w:w="3135"/>
            <w:shd w:val="clear" w:color="auto" w:fill="2F5496"/>
          </w:tcPr>
          <w:p>
            <w:r/>
            <w:r>
              <w:rPr>
                <w:b/>
                <w:color w:val="FFFFFF"/>
                <w:sz w:val="19"/>
              </w:rPr>
              <w:t>Datei</w:t>
            </w:r>
          </w:p>
        </w:tc>
        <w:tc>
          <w:tcPr>
            <w:tcW w:type="dxa" w:w="3135"/>
            <w:shd w:val="clear" w:color="auto" w:fill="2F5496"/>
          </w:tcPr>
          <w:p>
            <w:r/>
            <w:r>
              <w:rPr>
                <w:b/>
                <w:color w:val="FFFFFF"/>
                <w:sz w:val="19"/>
              </w:rPr>
              <w:t>Zweck</w:t>
            </w:r>
          </w:p>
        </w:tc>
      </w:tr>
      <w:tr>
        <w:tc>
          <w:tcPr>
            <w:tcW w:type="dxa" w:w="3135"/>
          </w:tcPr>
          <w:p>
            <w:r/>
            <w:r>
              <w:rPr>
                <w:sz w:val="19"/>
              </w:rPr>
              <w:t>/</w:t>
            </w:r>
          </w:p>
        </w:tc>
        <w:tc>
          <w:tcPr>
            <w:tcW w:type="dxa" w:w="3135"/>
          </w:tcPr>
          <w:p>
            <w:r/>
            <w:r>
              <w:rPr>
                <w:sz w:val="19"/>
              </w:rPr>
              <w:t>app/[locale]/page.tsx</w:t>
            </w:r>
          </w:p>
        </w:tc>
        <w:tc>
          <w:tcPr>
            <w:tcW w:type="dxa" w:w="3135"/>
          </w:tcPr>
          <w:p>
            <w:r/>
            <w:r>
              <w:rPr>
                <w:sz w:val="19"/>
              </w:rPr>
              <w:t>Startseite: Anbieterliste, ZAP-Timeline, Standard-MCDA-Scoring mit scraper_method='scrapegraphai'</w:t>
            </w:r>
          </w:p>
        </w:tc>
      </w:tr>
      <w:tr>
        <w:tc>
          <w:tcPr>
            <w:tcW w:type="dxa" w:w="3135"/>
          </w:tcPr>
          <w:p>
            <w:r/>
            <w:r>
              <w:rPr>
                <w:sz w:val="19"/>
              </w:rPr>
              <w:t>/nutzwertanalyse</w:t>
            </w:r>
          </w:p>
        </w:tc>
        <w:tc>
          <w:tcPr>
            <w:tcW w:type="dxa" w:w="3135"/>
          </w:tcPr>
          <w:p>
            <w:r/>
            <w:r>
              <w:rPr>
                <w:sz w:val="19"/>
              </w:rPr>
              <w:t>app/[locale]/nutzwertanalyse/page.tsx</w:t>
            </w:r>
          </w:p>
        </w:tc>
        <w:tc>
          <w:tcPr>
            <w:tcW w:type="dxa" w:w="3135"/>
          </w:tcPr>
          <w:p>
            <w:r/>
            <w:r>
              <w:rPr>
                <w:sz w:val="19"/>
              </w:rPr>
              <w:t>Interaktive Nutzwertanalyse mit 6 verstellbaren Gewichtungs-Slidern</w:t>
            </w:r>
          </w:p>
        </w:tc>
      </w:tr>
      <w:tr>
        <w:tc>
          <w:tcPr>
            <w:tcW w:type="dxa" w:w="3135"/>
          </w:tcPr>
          <w:p>
            <w:r/>
            <w:r>
              <w:rPr>
                <w:sz w:val="19"/>
              </w:rPr>
              <w:t>/compare</w:t>
            </w:r>
          </w:p>
        </w:tc>
        <w:tc>
          <w:tcPr>
            <w:tcW w:type="dxa" w:w="3135"/>
          </w:tcPr>
          <w:p>
            <w:r/>
            <w:r>
              <w:rPr>
                <w:sz w:val="19"/>
              </w:rPr>
              <w:t>app/[locale]/compare/page.tsx</w:t>
            </w:r>
          </w:p>
        </w:tc>
        <w:tc>
          <w:tcPr>
            <w:tcW w:type="dxa" w:w="3135"/>
          </w:tcPr>
          <w:p>
            <w:r/>
            <w:r>
              <w:rPr>
                <w:sz w:val="19"/>
              </w:rPr>
              <w:t>Side-by-side-Vergleich von bis zu 3 Anbietern (Auswahl aus dem Zustand-Store)</w:t>
            </w:r>
          </w:p>
        </w:tc>
      </w:tr>
      <w:tr>
        <w:tc>
          <w:tcPr>
            <w:tcW w:type="dxa" w:w="3135"/>
          </w:tcPr>
          <w:p>
            <w:r/>
            <w:r>
              <w:rPr>
                <w:sz w:val="19"/>
              </w:rPr>
              <w:t>/zap-info</w:t>
            </w:r>
          </w:p>
        </w:tc>
        <w:tc>
          <w:tcPr>
            <w:tcW w:type="dxa" w:w="3135"/>
          </w:tcPr>
          <w:p>
            <w:r/>
            <w:r>
              <w:rPr>
                <w:sz w:val="19"/>
              </w:rPr>
              <w:t>app/[locale]/zap-info/page.tsx</w:t>
            </w:r>
          </w:p>
        </w:tc>
        <w:tc>
          <w:tcPr>
            <w:tcW w:type="dxa" w:w="3135"/>
          </w:tcPr>
          <w:p>
            <w:r/>
            <w:r>
              <w:rPr>
                <w:sz w:val="19"/>
              </w:rPr>
              <w:t>Offizielle ZAP-Prüfungstermine pro Schuljahr</w:t>
            </w:r>
          </w:p>
        </w:tc>
      </w:tr>
      <w:tr>
        <w:tc>
          <w:tcPr>
            <w:tcW w:type="dxa" w:w="3135"/>
          </w:tcPr>
          <w:p>
            <w:r/>
            <w:r>
              <w:rPr>
                <w:sz w:val="19"/>
              </w:rPr>
              <w:t>/report</w:t>
            </w:r>
          </w:p>
        </w:tc>
        <w:tc>
          <w:tcPr>
            <w:tcW w:type="dxa" w:w="3135"/>
          </w:tcPr>
          <w:p>
            <w:r/>
            <w:r>
              <w:rPr>
                <w:sz w:val="19"/>
              </w:rPr>
              <w:t>app/[locale]/report/page.tsx</w:t>
            </w:r>
          </w:p>
        </w:tc>
        <w:tc>
          <w:tcPr>
            <w:tcW w:type="dxa" w:w="3135"/>
          </w:tcPr>
          <w:p>
            <w:r/>
            <w:r>
              <w:rPr>
                <w:sz w:val="19"/>
              </w:rPr>
              <w:t>Live-Dashboard: Coverage-Matrix, Erfolgsraten und offene Fehler pro Scraping-Methode</w:t>
            </w:r>
          </w:p>
        </w:tc>
      </w:tr>
      <w:tr>
        <w:tc>
          <w:tcPr>
            <w:tcW w:type="dxa" w:w="3135"/>
          </w:tcPr>
          <w:p>
            <w:r/>
            <w:r>
              <w:rPr>
                <w:sz w:val="19"/>
              </w:rPr>
              <w:t>/about</w:t>
            </w:r>
          </w:p>
        </w:tc>
        <w:tc>
          <w:tcPr>
            <w:tcW w:type="dxa" w:w="3135"/>
          </w:tcPr>
          <w:p>
            <w:r/>
            <w:r>
              <w:rPr>
                <w:sz w:val="19"/>
              </w:rPr>
              <w:t>app/[locale]/about/page.tsx</w:t>
            </w:r>
          </w:p>
        </w:tc>
        <w:tc>
          <w:tcPr>
            <w:tcW w:type="dxa" w:w="3135"/>
          </w:tcPr>
          <w:p>
            <w:r/>
            <w:r>
              <w:rPr>
                <w:sz w:val="19"/>
              </w:rPr>
              <w:t>Statische Seite mit Tech-Stack und Autorin</w:t>
            </w:r>
          </w:p>
        </w:tc>
      </w:tr>
      <w:tr>
        <w:tc>
          <w:tcPr>
            <w:tcW w:type="dxa" w:w="3135"/>
          </w:tcPr>
          <w:p>
            <w:r/>
            <w:r>
              <w:rPr>
                <w:sz w:val="19"/>
              </w:rPr>
              <w:t>/contact</w:t>
            </w:r>
          </w:p>
        </w:tc>
        <w:tc>
          <w:tcPr>
            <w:tcW w:type="dxa" w:w="3135"/>
          </w:tcPr>
          <w:p>
            <w:r/>
            <w:r>
              <w:rPr>
                <w:sz w:val="19"/>
              </w:rPr>
              <w:t>app/[locale]/contact/page.tsx</w:t>
            </w:r>
          </w:p>
        </w:tc>
        <w:tc>
          <w:tcPr>
            <w:tcW w:type="dxa" w:w="3135"/>
          </w:tcPr>
          <w:p>
            <w:r/>
            <w:r>
              <w:rPr>
                <w:sz w:val="19"/>
              </w:rPr>
              <w:t>Kontaktformular (baut client-seitig einen mailto:-Link, kein eigener Versand-Endpunkt)</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Die Report-Seite (/report)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pPr>
        <w:pStyle w:val="Heading2"/>
      </w:pPr>
      <w:r>
        <w:t>2.3 Datenfluss</w:t>
      </w:r>
    </w:p>
    <w:p>
      <w:r>
        <w:t>Der Datenfluss ist absichtlich einfach gehalten: Scraper (TypeScript oder Python, je nach Technologie) schreiben Kursdaten direkt per Supabase-Client in die Tabellen GymiProviders, CourseDetails und courses. Jede Seite der Webanwendung liest diese Tabellen serverseitig, validiert die Rohdaten mit Zod (schemas/) und übergibt sie an utils/adaptProviders.ts, das daraus die MCDA-Scores berechnet. Änderungen in der Datenbank werden zusätzlich per Supabase Realtime an offene Browser-Tabs propagiert (hooks/useRealtimeProviders.ts), die dann automatisch neu laden – ohne eigenes Polling oder manuelles Reload.</w:t>
      </w:r>
    </w:p>
    <w:p>
      <w:pPr>
        <w:pStyle w:val="Heading2"/>
      </w:pPr>
      <w:r>
        <w:t>2.4 Verzeichnisübersicht</w:t>
      </w:r>
    </w:p>
    <w:p>
      <w:pPr>
        <w:pStyle w:val="Code"/>
        <w:shd w:val="clear" w:color="auto" w:fill="F2F2F2"/>
        <w:pBdr>
          <w:top w:val="single" w:sz="4" w:space="4" w:color="CCCCCC"/>
          <w:left w:val="single" w:sz="4" w:space="4" w:color="CCCCCC"/>
          <w:bottom w:val="single" w:sz="4" w:space="4" w:color="CCCCCC"/>
          <w:right w:val="single" w:sz="4" w:space="4" w:color="CCCCCC"/>
        </w:pBdr>
      </w:pPr>
      <w:r>
        <w:t>Web-Scraping-Vergleich/</w:t>
      </w:r>
    </w:p>
    <w:p>
      <w:pPr>
        <w:pStyle w:val="Code"/>
        <w:shd w:val="clear" w:color="auto" w:fill="F2F2F2"/>
        <w:pBdr>
          <w:top w:val="single" w:sz="4" w:space="4" w:color="CCCCCC"/>
          <w:left w:val="single" w:sz="4" w:space="4" w:color="CCCCCC"/>
          <w:bottom w:val="single" w:sz="4" w:space="4" w:color="CCCCCC"/>
          <w:right w:val="single" w:sz="4" w:space="4" w:color="CCCCCC"/>
        </w:pBdr>
      </w:pPr>
      <w:r>
        <w:t>├── app/[locale]/        Next.js-Seiten (Server Components, i18n-Routing)</w:t>
      </w:r>
    </w:p>
    <w:p>
      <w:pPr>
        <w:pStyle w:val="Code"/>
        <w:shd w:val="clear" w:color="auto" w:fill="F2F2F2"/>
        <w:pBdr>
          <w:top w:val="single" w:sz="4" w:space="4" w:color="CCCCCC"/>
          <w:left w:val="single" w:sz="4" w:space="4" w:color="CCCCCC"/>
          <w:bottom w:val="single" w:sz="4" w:space="4" w:color="CCCCCC"/>
          <w:right w:val="single" w:sz="4" w:space="4" w:color="CCCCCC"/>
        </w:pBdr>
      </w:pPr>
      <w:r>
        <w:t>├── components/          UI-Komponenten (components/lovable/, components/ui/)</w:t>
      </w:r>
    </w:p>
    <w:p>
      <w:pPr>
        <w:pStyle w:val="Code"/>
        <w:shd w:val="clear" w:color="auto" w:fill="F2F2F2"/>
        <w:pBdr>
          <w:top w:val="single" w:sz="4" w:space="4" w:color="CCCCCC"/>
          <w:left w:val="single" w:sz="4" w:space="4" w:color="CCCCCC"/>
          <w:bottom w:val="single" w:sz="4" w:space="4" w:color="CCCCCC"/>
          <w:right w:val="single" w:sz="4" w:space="4" w:color="CCCCCC"/>
        </w:pBdr>
      </w:pPr>
      <w:r>
        <w:t>├── hooks/                Client-Hooks (u. a. useRealtimeProviders.ts)</w:t>
      </w:r>
    </w:p>
    <w:p>
      <w:pPr>
        <w:pStyle w:val="Code"/>
        <w:shd w:val="clear" w:color="auto" w:fill="F2F2F2"/>
        <w:pBdr>
          <w:top w:val="single" w:sz="4" w:space="4" w:color="CCCCCC"/>
          <w:left w:val="single" w:sz="4" w:space="4" w:color="CCCCCC"/>
          <w:bottom w:val="single" w:sz="4" w:space="4" w:color="CCCCCC"/>
          <w:right w:val="single" w:sz="4" w:space="4" w:color="CCCCCC"/>
        </w:pBdr>
      </w:pPr>
      <w:r>
        <w:t>├── lib/                  UI-nahe Hilfstypen/-funktionen (provider-types.ts, format.ts)</w:t>
      </w:r>
    </w:p>
    <w:p>
      <w:pPr>
        <w:pStyle w:val="Code"/>
        <w:shd w:val="clear" w:color="auto" w:fill="F2F2F2"/>
        <w:pBdr>
          <w:top w:val="single" w:sz="4" w:space="4" w:color="CCCCCC"/>
          <w:left w:val="single" w:sz="4" w:space="4" w:color="CCCCCC"/>
          <w:bottom w:val="single" w:sz="4" w:space="4" w:color="CCCCCC"/>
          <w:right w:val="single" w:sz="4" w:space="4" w:color="CCCCCC"/>
        </w:pBdr>
      </w:pPr>
      <w:r>
        <w:t>├── utils/                Business-Logik (adaptProviders.ts) und Supabase-Clients</w:t>
      </w:r>
    </w:p>
    <w:p>
      <w:pPr>
        <w:pStyle w:val="Code"/>
        <w:shd w:val="clear" w:color="auto" w:fill="F2F2F2"/>
        <w:pBdr>
          <w:top w:val="single" w:sz="4" w:space="4" w:color="CCCCCC"/>
          <w:left w:val="single" w:sz="4" w:space="4" w:color="CCCCCC"/>
          <w:bottom w:val="single" w:sz="4" w:space="4" w:color="CCCCCC"/>
          <w:right w:val="single" w:sz="4" w:space="4" w:color="CCCCCC"/>
        </w:pBdr>
      </w:pPr>
      <w:r>
        <w:t>├── schemas/              Zod-Schemas (siehe Kapitel 9.1)</w:t>
      </w:r>
    </w:p>
    <w:p>
      <w:pPr>
        <w:pStyle w:val="Code"/>
        <w:shd w:val="clear" w:color="auto" w:fill="F2F2F2"/>
        <w:pBdr>
          <w:top w:val="single" w:sz="4" w:space="4" w:color="CCCCCC"/>
          <w:left w:val="single" w:sz="4" w:space="4" w:color="CCCCCC"/>
          <w:bottom w:val="single" w:sz="4" w:space="4" w:color="CCCCCC"/>
          <w:right w:val="single" w:sz="4" w:space="4" w:color="CCCCCC"/>
        </w:pBdr>
      </w:pPr>
      <w:r>
        <w:t>├── stores/               Zustand-Stores (siehe Kapitel 9.2)</w:t>
      </w:r>
    </w:p>
    <w:p>
      <w:pPr>
        <w:pStyle w:val="Code"/>
        <w:shd w:val="clear" w:color="auto" w:fill="F2F2F2"/>
        <w:pBdr>
          <w:top w:val="single" w:sz="4" w:space="4" w:color="CCCCCC"/>
          <w:left w:val="single" w:sz="4" w:space="4" w:color="CCCCCC"/>
          <w:bottom w:val="single" w:sz="4" w:space="4" w:color="CCCCCC"/>
          <w:right w:val="single" w:sz="4" w:space="4" w:color="CCCCCC"/>
        </w:pBdr>
      </w:pPr>
      <w:r>
        <w:t>├── i18n/                 next-intl-Konfiguration (routing.ts, navigation.ts, request.ts)</w:t>
      </w:r>
    </w:p>
    <w:p>
      <w:pPr>
        <w:pStyle w:val="Code"/>
        <w:shd w:val="clear" w:color="auto" w:fill="F2F2F2"/>
        <w:pBdr>
          <w:top w:val="single" w:sz="4" w:space="4" w:color="CCCCCC"/>
          <w:left w:val="single" w:sz="4" w:space="4" w:color="CCCCCC"/>
          <w:bottom w:val="single" w:sz="4" w:space="4" w:color="CCCCCC"/>
          <w:right w:val="single" w:sz="4" w:space="4" w:color="CCCCCC"/>
        </w:pBdr>
      </w:pPr>
      <w:r>
        <w:t>├── messages/             Übersetzungsdateien de.json / en.json</w:t>
      </w:r>
    </w:p>
    <w:p>
      <w:pPr>
        <w:pStyle w:val="Code"/>
        <w:shd w:val="clear" w:color="auto" w:fill="F2F2F2"/>
        <w:pBdr>
          <w:top w:val="single" w:sz="4" w:space="4" w:color="CCCCCC"/>
          <w:left w:val="single" w:sz="4" w:space="4" w:color="CCCCCC"/>
          <w:bottom w:val="single" w:sz="4" w:space="4" w:color="CCCCCC"/>
          <w:right w:val="single" w:sz="4" w:space="4" w:color="CCCCCC"/>
        </w:pBdr>
      </w:pPr>
      <w:r>
        <w:t>├── scraping/             Scraping-Pipeline, unabhängig von der Webanwendung</w:t>
      </w:r>
    </w:p>
    <w:p>
      <w:pPr>
        <w:pStyle w:val="Code"/>
        <w:shd w:val="clear" w:color="auto" w:fill="F2F2F2"/>
        <w:pBdr>
          <w:top w:val="single" w:sz="4" w:space="4" w:color="CCCCCC"/>
          <w:left w:val="single" w:sz="4" w:space="4" w:color="CCCCCC"/>
          <w:bottom w:val="single" w:sz="4" w:space="4" w:color="CCCCCC"/>
          <w:right w:val="single" w:sz="4" w:space="4" w:color="CCCCCC"/>
        </w:pBdr>
      </w:pPr>
      <w:r>
        <w:t>│   ├── puppeteer/        5 TypeScript-Scraper (siehe Kapitel 6.1)</w:t>
      </w:r>
    </w:p>
    <w:p>
      <w:pPr>
        <w:pStyle w:val="Code"/>
        <w:shd w:val="clear" w:color="auto" w:fill="F2F2F2"/>
        <w:pBdr>
          <w:top w:val="single" w:sz="4" w:space="4" w:color="CCCCCC"/>
          <w:left w:val="single" w:sz="4" w:space="4" w:color="CCCCCC"/>
          <w:bottom w:val="single" w:sz="4" w:space="4" w:color="CCCCCC"/>
          <w:right w:val="single" w:sz="4" w:space="4" w:color="CCCCCC"/>
        </w:pBdr>
      </w:pPr>
      <w:r>
        <w:t>│   ├── brightdata/       5 Python-Scraper (siehe Kapitel 6.2)</w:t>
      </w:r>
    </w:p>
    <w:p>
      <w:pPr>
        <w:pStyle w:val="Code"/>
        <w:shd w:val="clear" w:color="auto" w:fill="F2F2F2"/>
        <w:pBdr>
          <w:top w:val="single" w:sz="4" w:space="4" w:color="CCCCCC"/>
          <w:left w:val="single" w:sz="4" w:space="4" w:color="CCCCCC"/>
          <w:bottom w:val="single" w:sz="4" w:space="4" w:color="CCCCCC"/>
          <w:right w:val="single" w:sz="4" w:space="4" w:color="CCCCCC"/>
        </w:pBdr>
      </w:pPr>
      <w:r>
        <w:t>│   ├── scrapegraphai/    12 Python-Scraper (siehe Kapitel 6.3)</w:t>
      </w:r>
    </w:p>
    <w:p>
      <w:pPr>
        <w:pStyle w:val="Code"/>
        <w:shd w:val="clear" w:color="auto" w:fill="F2F2F2"/>
        <w:pBdr>
          <w:top w:val="single" w:sz="4" w:space="4" w:color="CCCCCC"/>
          <w:left w:val="single" w:sz="4" w:space="4" w:color="CCCCCC"/>
          <w:bottom w:val="single" w:sz="4" w:space="4" w:color="CCCCCC"/>
          <w:right w:val="single" w:sz="4" w:space="4" w:color="CCCCCC"/>
        </w:pBdr>
      </w:pPr>
      <w:r>
        <w:t>│   ├── zap-info/         Separater Scraper für Prüfungstermine (siehe Kapitel 8)</w:t>
      </w:r>
    </w:p>
    <w:p>
      <w:pPr>
        <w:pStyle w:val="Code"/>
        <w:shd w:val="clear" w:color="auto" w:fill="F2F2F2"/>
        <w:pBdr>
          <w:top w:val="single" w:sz="4" w:space="4" w:color="CCCCCC"/>
          <w:left w:val="single" w:sz="4" w:space="4" w:color="CCCCCC"/>
          <w:bottom w:val="single" w:sz="4" w:space="4" w:color="CCCCCC"/>
          <w:right w:val="single" w:sz="4" w:space="4" w:color="CCCCCC"/>
        </w:pBdr>
      </w:pPr>
      <w:r>
        <w:t>│   └── self-healing/     Automatische Fehlerbehebung (siehe Kapitel 7)</w:t>
      </w:r>
    </w:p>
    <w:p>
      <w:pPr>
        <w:pStyle w:val="Code"/>
        <w:shd w:val="clear" w:color="auto" w:fill="F2F2F2"/>
        <w:pBdr>
          <w:top w:val="single" w:sz="4" w:space="4" w:color="CCCCCC"/>
          <w:left w:val="single" w:sz="4" w:space="4" w:color="CCCCCC"/>
          <w:bottom w:val="single" w:sz="4" w:space="4" w:color="CCCCCC"/>
          <w:right w:val="single" w:sz="4" w:space="4" w:color="CCCCCC"/>
        </w:pBdr>
      </w:pPr>
      <w:r>
        <w:t>├── docs/                 Referenz-SQL-Skripte und diese Dokumentation</w:t>
      </w:r>
    </w:p>
    <w:p>
      <w:pPr>
        <w:pStyle w:val="Code"/>
        <w:shd w:val="clear" w:color="auto" w:fill="F2F2F2"/>
        <w:pBdr>
          <w:top w:val="single" w:sz="4" w:space="4" w:color="CCCCCC"/>
          <w:left w:val="single" w:sz="4" w:space="4" w:color="CCCCCC"/>
          <w:bottom w:val="single" w:sz="4" w:space="4" w:color="CCCCCC"/>
          <w:right w:val="single" w:sz="4" w:space="4" w:color="CCCCCC"/>
        </w:pBdr>
      </w:pPr>
      <w:r>
        <w:t>└── .github/workflows/    Geplante Automatisierung (siehe Kapitel 14)</w:t>
      </w:r>
    </w:p>
    <w:p>
      <w:pPr>
        <w:pStyle w:val="Heading2"/>
      </w:pPr>
      <w:r>
        <w:t>2.5 Technologie-Stack</w:t>
      </w:r>
    </w:p>
    <w:p>
      <w:pPr>
        <w:pStyle w:val="Caption2"/>
      </w:pPr>
      <w:r>
        <w:t>Tabelle 3: Im Portal eingesetzte Technologien</w:t>
      </w:r>
    </w:p>
    <w:tbl>
      <w:tblPr>
        <w:tblStyle w:val="LightGrid-Accent1"/>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r>
              <w:t>Kategorie</w:t>
            </w:r>
          </w:p>
        </w:tc>
        <w:tc>
          <w:tcPr>
            <w:tcW w:type="dxa" w:w="1881"/>
          </w:tcPr>
          <w:p>
            <w:r>
              <w:t>Technologie</w:t>
            </w:r>
          </w:p>
        </w:tc>
        <w:tc>
          <w:tcPr>
            <w:tcW w:type="dxa" w:w="1881"/>
          </w:tcPr>
          <w:p>
            <w:r>
              <w:t>Version</w:t>
            </w:r>
          </w:p>
        </w:tc>
        <w:tc>
          <w:tcPr>
            <w:tcW w:type="dxa" w:w="1881"/>
          </w:tcPr>
          <w:p>
            <w:r>
              <w:t>Dokumentation</w:t>
            </w:r>
          </w:p>
        </w:tc>
        <w:tc>
          <w:tcPr>
            <w:tcW w:type="dxa" w:w="1881"/>
          </w:tcPr>
          <w:p>
            <w:r>
              <w:t>Zweck</w:t>
            </w:r>
          </w:p>
        </w:tc>
      </w:tr>
      <w:tr>
        <w:tc>
          <w:tcPr>
            <w:tcW w:type="dxa" w:w="1881"/>
          </w:tcPr>
          <w:p>
            <w:r>
              <w:t>Framework</w:t>
            </w:r>
          </w:p>
        </w:tc>
        <w:tc>
          <w:tcPr>
            <w:tcW w:type="dxa" w:w="1881"/>
          </w:tcPr>
          <w:p>
            <w:r>
              <w:t>Next.js</w:t>
            </w:r>
          </w:p>
        </w:tc>
        <w:tc>
          <w:tcPr>
            <w:tcW w:type="dxa" w:w="1881"/>
          </w:tcPr>
          <w:p>
            <w:r>
              <w:t>15.5.18</w:t>
            </w:r>
          </w:p>
        </w:tc>
        <w:tc>
          <w:tcPr>
            <w:tcW w:type="dxa" w:w="1881"/>
          </w:tcPr>
          <w:p>
            <w:r>
              <w:t>https://nextjs.org/docs</w:t>
            </w:r>
          </w:p>
        </w:tc>
        <w:tc>
          <w:tcPr>
            <w:tcW w:type="dxa" w:w="1881"/>
          </w:tcPr>
          <w:p>
            <w:r>
              <w:t>Full-Stack-Framework, App Router, serverseitiges Rendering</w:t>
            </w:r>
          </w:p>
        </w:tc>
      </w:tr>
      <w:tr>
        <w:tc>
          <w:tcPr>
            <w:tcW w:type="dxa" w:w="1881"/>
          </w:tcPr>
          <w:p>
            <w:r>
              <w:t>UI-Bibliothek</w:t>
            </w:r>
          </w:p>
        </w:tc>
        <w:tc>
          <w:tcPr>
            <w:tcW w:type="dxa" w:w="1881"/>
          </w:tcPr>
          <w:p>
            <w:r>
              <w:t>React</w:t>
            </w:r>
          </w:p>
        </w:tc>
        <w:tc>
          <w:tcPr>
            <w:tcW w:type="dxa" w:w="1881"/>
          </w:tcPr>
          <w:p>
            <w:r>
              <w:t>19.2.4</w:t>
            </w:r>
          </w:p>
        </w:tc>
        <w:tc>
          <w:tcPr>
            <w:tcW w:type="dxa" w:w="1881"/>
          </w:tcPr>
          <w:p>
            <w:r>
              <w:t>https://react.dev</w:t>
            </w:r>
          </w:p>
        </w:tc>
        <w:tc>
          <w:tcPr>
            <w:tcW w:type="dxa" w:w="1881"/>
          </w:tcPr>
          <w:p>
            <w:r>
              <w:t>Komponentenbasierte Benutzeroberfläche</w:t>
            </w:r>
          </w:p>
        </w:tc>
      </w:tr>
      <w:tr>
        <w:tc>
          <w:tcPr>
            <w:tcW w:type="dxa" w:w="1881"/>
          </w:tcPr>
          <w:p>
            <w:r>
              <w:t>Sprache</w:t>
            </w:r>
          </w:p>
        </w:tc>
        <w:tc>
          <w:tcPr>
            <w:tcW w:type="dxa" w:w="1881"/>
          </w:tcPr>
          <w:p>
            <w:r>
              <w:t>TypeScript</w:t>
            </w:r>
          </w:p>
        </w:tc>
        <w:tc>
          <w:tcPr>
            <w:tcW w:type="dxa" w:w="1881"/>
          </w:tcPr>
          <w:p>
            <w:r>
              <w:t>5.9.3</w:t>
            </w:r>
          </w:p>
        </w:tc>
        <w:tc>
          <w:tcPr>
            <w:tcW w:type="dxa" w:w="1881"/>
          </w:tcPr>
          <w:p>
            <w:r>
              <w:t>https://www.typescriptlang.org/docs</w:t>
            </w:r>
          </w:p>
        </w:tc>
        <w:tc>
          <w:tcPr>
            <w:tcW w:type="dxa" w:w="1881"/>
          </w:tcPr>
          <w:p>
            <w:r>
              <w:t>Statische Typisierung, Typsynchronisation mit Supabase</w:t>
            </w:r>
          </w:p>
        </w:tc>
      </w:tr>
      <w:tr>
        <w:tc>
          <w:tcPr>
            <w:tcW w:type="dxa" w:w="1881"/>
          </w:tcPr>
          <w:p>
            <w:r>
              <w:t>Datenbank / Backend</w:t>
            </w:r>
          </w:p>
        </w:tc>
        <w:tc>
          <w:tcPr>
            <w:tcW w:type="dxa" w:w="1881"/>
          </w:tcPr>
          <w:p>
            <w:r>
              <w:t>Supabase (supabase-js)</w:t>
            </w:r>
          </w:p>
        </w:tc>
        <w:tc>
          <w:tcPr>
            <w:tcW w:type="dxa" w:w="1881"/>
          </w:tcPr>
          <w:p>
            <w:r>
              <w:t>2.98.0</w:t>
            </w:r>
          </w:p>
        </w:tc>
        <w:tc>
          <w:tcPr>
            <w:tcW w:type="dxa" w:w="1881"/>
          </w:tcPr>
          <w:p>
            <w:r>
              <w:t>https://supabase.com/docs</w:t>
            </w:r>
          </w:p>
        </w:tc>
        <w:tc>
          <w:tcPr>
            <w:tcW w:type="dxa" w:w="1881"/>
          </w:tcPr>
          <w:p>
            <w:r>
              <w:t>PostgreSQL-Datenbank, REST-API, Realtime, Row Level Security</w:t>
            </w:r>
          </w:p>
        </w:tc>
      </w:tr>
      <w:tr>
        <w:tc>
          <w:tcPr>
            <w:tcW w:type="dxa" w:w="1881"/>
          </w:tcPr>
          <w:p>
            <w:r>
              <w:t>Validierung</w:t>
            </w:r>
          </w:p>
        </w:tc>
        <w:tc>
          <w:tcPr>
            <w:tcW w:type="dxa" w:w="1881"/>
          </w:tcPr>
          <w:p>
            <w:r>
              <w:t>Zod</w:t>
            </w:r>
          </w:p>
        </w:tc>
        <w:tc>
          <w:tcPr>
            <w:tcW w:type="dxa" w:w="1881"/>
          </w:tcPr>
          <w:p>
            <w:r>
              <w:t>4.3.6</w:t>
            </w:r>
          </w:p>
        </w:tc>
        <w:tc>
          <w:tcPr>
            <w:tcW w:type="dxa" w:w="1881"/>
          </w:tcPr>
          <w:p>
            <w:r>
              <w:t>https://zod.dev</w:t>
            </w:r>
          </w:p>
        </w:tc>
        <w:tc>
          <w:tcPr>
            <w:tcW w:type="dxa" w:w="1881"/>
          </w:tcPr>
          <w:p>
            <w:r>
              <w:t>Laufzeitvalidierung, Schema-zu-Typ-Synchronisation</w:t>
            </w:r>
          </w:p>
        </w:tc>
      </w:tr>
      <w:tr>
        <w:tc>
          <w:tcPr>
            <w:tcW w:type="dxa" w:w="1881"/>
          </w:tcPr>
          <w:p>
            <w:r>
              <w:t>State-Management</w:t>
            </w:r>
          </w:p>
        </w:tc>
        <w:tc>
          <w:tcPr>
            <w:tcW w:type="dxa" w:w="1881"/>
          </w:tcPr>
          <w:p>
            <w:r>
              <w:t>Zustand</w:t>
            </w:r>
          </w:p>
        </w:tc>
        <w:tc>
          <w:tcPr>
            <w:tcW w:type="dxa" w:w="1881"/>
          </w:tcPr>
          <w:p>
            <w:r>
              <w:t>5.0.11</w:t>
            </w:r>
          </w:p>
        </w:tc>
        <w:tc>
          <w:tcPr>
            <w:tcW w:type="dxa" w:w="1881"/>
          </w:tcPr>
          <w:p>
            <w:r>
              <w:t>https://zustand.docs.pmnd.rs</w:t>
            </w:r>
          </w:p>
        </w:tc>
        <w:tc>
          <w:tcPr>
            <w:tcW w:type="dxa" w:w="1881"/>
          </w:tcPr>
          <w:p>
            <w:r>
              <w:t>Globaler State (Vergleichsauswahl, UI-Präferenzen)</w:t>
            </w:r>
          </w:p>
        </w:tc>
      </w:tr>
      <w:tr>
        <w:tc>
          <w:tcPr>
            <w:tcW w:type="dxa" w:w="1881"/>
          </w:tcPr>
          <w:p>
            <w:r>
              <w:t>Styling</w:t>
            </w:r>
          </w:p>
        </w:tc>
        <w:tc>
          <w:tcPr>
            <w:tcW w:type="dxa" w:w="1881"/>
          </w:tcPr>
          <w:p>
            <w:r>
              <w:t>Tailwind CSS</w:t>
            </w:r>
          </w:p>
        </w:tc>
        <w:tc>
          <w:tcPr>
            <w:tcW w:type="dxa" w:w="1881"/>
          </w:tcPr>
          <w:p>
            <w:r>
              <w:t>4.3.0</w:t>
            </w:r>
          </w:p>
        </w:tc>
        <w:tc>
          <w:tcPr>
            <w:tcW w:type="dxa" w:w="1881"/>
          </w:tcPr>
          <w:p>
            <w:r>
              <w:t>https://tailwindcss.com/docs</w:t>
            </w:r>
          </w:p>
        </w:tc>
        <w:tc>
          <w:tcPr>
            <w:tcW w:type="dxa" w:w="1881"/>
          </w:tcPr>
          <w:p>
            <w:r>
              <w:t>Utility-First-CSS, Theming über CSS-Variablen</w:t>
            </w:r>
          </w:p>
        </w:tc>
      </w:tr>
      <w:tr>
        <w:tc>
          <w:tcPr>
            <w:tcW w:type="dxa" w:w="1881"/>
          </w:tcPr>
          <w:p>
            <w:r>
              <w:t>UI-Primitives</w:t>
            </w:r>
          </w:p>
        </w:tc>
        <w:tc>
          <w:tcPr>
            <w:tcW w:type="dxa" w:w="1881"/>
          </w:tcPr>
          <w:p>
            <w:r>
              <w:t>shadcn/ui (Radix Dialog)</w:t>
            </w:r>
          </w:p>
        </w:tc>
        <w:tc>
          <w:tcPr>
            <w:tcW w:type="dxa" w:w="1881"/>
          </w:tcPr>
          <w:p>
            <w:r>
              <w:t>1.1.15</w:t>
            </w:r>
          </w:p>
        </w:tc>
        <w:tc>
          <w:tcPr>
            <w:tcW w:type="dxa" w:w="1881"/>
          </w:tcPr>
          <w:p>
            <w:r>
              <w:t>https://ui.shadcn.com</w:t>
            </w:r>
          </w:p>
        </w:tc>
        <w:tc>
          <w:tcPr>
            <w:tcW w:type="dxa" w:w="1881"/>
          </w:tcPr>
          <w:p>
            <w:r>
              <w:t>Headless-Komponenten auf Basis von Radix UI</w:t>
            </w:r>
          </w:p>
        </w:tc>
      </w:tr>
      <w:tr>
        <w:tc>
          <w:tcPr>
            <w:tcW w:type="dxa" w:w="1881"/>
          </w:tcPr>
          <w:p>
            <w:r>
              <w:t>Icons</w:t>
            </w:r>
          </w:p>
        </w:tc>
        <w:tc>
          <w:tcPr>
            <w:tcW w:type="dxa" w:w="1881"/>
          </w:tcPr>
          <w:p>
            <w:r>
              <w:t>lucide-react</w:t>
            </w:r>
          </w:p>
        </w:tc>
        <w:tc>
          <w:tcPr>
            <w:tcW w:type="dxa" w:w="1881"/>
          </w:tcPr>
          <w:p>
            <w:r>
              <w:t>0.475.0</w:t>
            </w:r>
          </w:p>
        </w:tc>
        <w:tc>
          <w:tcPr>
            <w:tcW w:type="dxa" w:w="1881"/>
          </w:tcPr>
          <w:p>
            <w:r>
              <w:t>https://lucide.dev</w:t>
            </w:r>
          </w:p>
        </w:tc>
        <w:tc>
          <w:tcPr>
            <w:tcW w:type="dxa" w:w="1881"/>
          </w:tcPr>
          <w:p>
            <w:r>
              <w:t>Interface-Icons</w:t>
            </w:r>
          </w:p>
        </w:tc>
      </w:tr>
      <w:tr>
        <w:tc>
          <w:tcPr>
            <w:tcW w:type="dxa" w:w="1881"/>
          </w:tcPr>
          <w:p>
            <w:r>
              <w:t>Schriftart</w:t>
            </w:r>
          </w:p>
        </w:tc>
        <w:tc>
          <w:tcPr>
            <w:tcW w:type="dxa" w:w="1881"/>
          </w:tcPr>
          <w:p>
            <w:r>
              <w:t>Geist</w:t>
            </w:r>
          </w:p>
        </w:tc>
        <w:tc>
          <w:tcPr>
            <w:tcW w:type="dxa" w:w="1881"/>
          </w:tcPr>
          <w:p>
            <w:r>
              <w:t>1.7.0</w:t>
            </w:r>
          </w:p>
        </w:tc>
        <w:tc>
          <w:tcPr>
            <w:tcW w:type="dxa" w:w="1881"/>
          </w:tcPr>
          <w:p>
            <w:r>
              <w:t>https://vercel.com/font</w:t>
            </w:r>
          </w:p>
        </w:tc>
        <w:tc>
          <w:tcPr>
            <w:tcW w:type="dxa" w:w="1881"/>
          </w:tcPr>
          <w:p>
            <w:r>
              <w:t>Interface-Typografie</w:t>
            </w:r>
          </w:p>
        </w:tc>
      </w:tr>
      <w:tr>
        <w:tc>
          <w:tcPr>
            <w:tcW w:type="dxa" w:w="1881"/>
          </w:tcPr>
          <w:p>
            <w:r>
              <w:t>Internationalisierung</w:t>
            </w:r>
          </w:p>
        </w:tc>
        <w:tc>
          <w:tcPr>
            <w:tcW w:type="dxa" w:w="1881"/>
          </w:tcPr>
          <w:p>
            <w:r>
              <w:t>next-intl</w:t>
            </w:r>
          </w:p>
        </w:tc>
        <w:tc>
          <w:tcPr>
            <w:tcW w:type="dxa" w:w="1881"/>
          </w:tcPr>
          <w:p>
            <w:r>
              <w:t>4.11.1</w:t>
            </w:r>
          </w:p>
        </w:tc>
        <w:tc>
          <w:tcPr>
            <w:tcW w:type="dxa" w:w="1881"/>
          </w:tcPr>
          <w:p>
            <w:r>
              <w:t>https://next-intl.dev</w:t>
            </w:r>
          </w:p>
        </w:tc>
        <w:tc>
          <w:tcPr>
            <w:tcW w:type="dxa" w:w="1881"/>
          </w:tcPr>
          <w:p>
            <w:r>
              <w:t>Zweisprachigkeit DE/EN, Locale-Routing</w:t>
            </w:r>
          </w:p>
        </w:tc>
      </w:tr>
      <w:tr>
        <w:tc>
          <w:tcPr>
            <w:tcW w:type="dxa" w:w="1881"/>
          </w:tcPr>
          <w:p>
            <w:r>
              <w:t>Scraping (DOM)</w:t>
            </w:r>
          </w:p>
        </w:tc>
        <w:tc>
          <w:tcPr>
            <w:tcW w:type="dxa" w:w="1881"/>
          </w:tcPr>
          <w:p>
            <w:r>
              <w:t>Puppeteer</w:t>
            </w:r>
          </w:p>
        </w:tc>
        <w:tc>
          <w:tcPr>
            <w:tcW w:type="dxa" w:w="1881"/>
          </w:tcPr>
          <w:p>
            <w:r>
              <w:t>23.11.1</w:t>
            </w:r>
          </w:p>
        </w:tc>
        <w:tc>
          <w:tcPr>
            <w:tcW w:type="dxa" w:w="1881"/>
          </w:tcPr>
          <w:p>
            <w:r>
              <w:t>https://pptr.dev</w:t>
            </w:r>
          </w:p>
        </w:tc>
        <w:tc>
          <w:tcPr>
            <w:tcW w:type="dxa" w:w="1881"/>
          </w:tcPr>
          <w:p>
            <w:r>
              <w:t>Klassisches DOM-Scraping (Headless Chrome)</w:t>
            </w:r>
          </w:p>
        </w:tc>
      </w:tr>
      <w:tr>
        <w:tc>
          <w:tcPr>
            <w:tcW w:type="dxa" w:w="1881"/>
          </w:tcPr>
          <w:p>
            <w:r>
              <w:t>Scraping (LLM)</w:t>
            </w:r>
          </w:p>
        </w:tc>
        <w:tc>
          <w:tcPr>
            <w:tcW w:type="dxa" w:w="1881"/>
          </w:tcPr>
          <w:p>
            <w:r>
              <w:t>ScrapeGraphAI</w:t>
            </w:r>
          </w:p>
        </w:tc>
        <w:tc>
          <w:tcPr>
            <w:tcW w:type="dxa" w:w="1881"/>
          </w:tcPr>
          <w:p>
            <w:r>
              <w:t>1.75.1</w:t>
            </w:r>
          </w:p>
        </w:tc>
        <w:tc>
          <w:tcPr>
            <w:tcW w:type="dxa" w:w="1881"/>
          </w:tcPr>
          <w:p>
            <w:r>
              <w:t>https://scrapegraphai.com</w:t>
            </w:r>
          </w:p>
        </w:tc>
        <w:tc>
          <w:tcPr>
            <w:tcW w:type="dxa" w:w="1881"/>
          </w:tcPr>
          <w:p>
            <w:r>
              <w:t>LLM-basierte Datenextraktion</w:t>
            </w:r>
          </w:p>
        </w:tc>
      </w:tr>
      <w:tr>
        <w:tc>
          <w:tcPr>
            <w:tcW w:type="dxa" w:w="1881"/>
          </w:tcPr>
          <w:p>
            <w:r>
              <w:t>Scraping (Cloud)</w:t>
            </w:r>
          </w:p>
        </w:tc>
        <w:tc>
          <w:tcPr>
            <w:tcW w:type="dxa" w:w="1881"/>
          </w:tcPr>
          <w:p>
            <w:r>
              <w:t>Bright Data</w:t>
            </w:r>
          </w:p>
        </w:tc>
        <w:tc>
          <w:tcPr>
            <w:tcW w:type="dxa" w:w="1881"/>
          </w:tcPr>
          <w:p>
            <w:r>
              <w:t>–</w:t>
            </w:r>
          </w:p>
        </w:tc>
        <w:tc>
          <w:tcPr>
            <w:tcW w:type="dxa" w:w="1881"/>
          </w:tcPr>
          <w:p>
            <w:r>
              <w:t>https://docs.brightdata.com</w:t>
            </w:r>
          </w:p>
        </w:tc>
        <w:tc>
          <w:tcPr>
            <w:tcW w:type="dxa" w:w="1881"/>
          </w:tcPr>
          <w:p>
            <w:r>
              <w:t>Cloud-Scraping-Dienst (Methodenvergleich, siehe Kapitel 6.2)</w:t>
            </w:r>
          </w:p>
        </w:tc>
      </w:tr>
      <w:tr>
        <w:tc>
          <w:tcPr>
            <w:tcW w:type="dxa" w:w="1881"/>
          </w:tcPr>
          <w:p>
            <w:r>
              <w:t>LLM (Extraktion)</w:t>
            </w:r>
          </w:p>
        </w:tc>
        <w:tc>
          <w:tcPr>
            <w:tcW w:type="dxa" w:w="1881"/>
          </w:tcPr>
          <w:p>
            <w:r>
              <w:t>BFH LLM (gpt-oss:120b)</w:t>
            </w:r>
          </w:p>
        </w:tc>
        <w:tc>
          <w:tcPr>
            <w:tcW w:type="dxa" w:w="1881"/>
          </w:tcPr>
          <w:p>
            <w:r>
              <w:t>–</w:t>
            </w:r>
          </w:p>
        </w:tc>
        <w:tc>
          <w:tcPr>
            <w:tcW w:type="dxa" w:w="1881"/>
          </w:tcPr>
          <w:p>
            <w:r>
              <w:t>– (internes BFH-Netz/VPN, kein öffentlicher Doku-Link)</w:t>
            </w:r>
          </w:p>
        </w:tc>
        <w:tc>
          <w:tcPr>
            <w:tcW w:type="dxa" w:w="1881"/>
          </w:tcPr>
          <w:p>
            <w:r>
              <w:t>Datenextraktion für ScrapeGraphAI (siehe Kapitel 6.3)</w:t>
            </w:r>
          </w:p>
        </w:tc>
      </w:tr>
      <w:tr>
        <w:tc>
          <w:tcPr>
            <w:tcW w:type="dxa" w:w="1881"/>
          </w:tcPr>
          <w:p>
            <w:r>
              <w:t>LLM (Self-Healing)</w:t>
            </w:r>
          </w:p>
        </w:tc>
        <w:tc>
          <w:tcPr>
            <w:tcW w:type="dxa" w:w="1881"/>
          </w:tcPr>
          <w:p>
            <w:r>
              <w:t>Gemini</w:t>
            </w:r>
          </w:p>
        </w:tc>
        <w:tc>
          <w:tcPr>
            <w:tcW w:type="dxa" w:w="1881"/>
          </w:tcPr>
          <w:p>
            <w:r>
              <w:t>2.5 Flash</w:t>
            </w:r>
          </w:p>
        </w:tc>
        <w:tc>
          <w:tcPr>
            <w:tcW w:type="dxa" w:w="1881"/>
          </w:tcPr>
          <w:p>
            <w:r>
              <w:t>https://ai.google.dev/gemini-api/docs</w:t>
            </w:r>
          </w:p>
        </w:tc>
        <w:tc>
          <w:tcPr>
            <w:tcW w:type="dxa" w:w="1881"/>
          </w:tcPr>
          <w:p>
            <w:r>
              <w:t>Selector-/Prompt-Generierung im Self-Healing-Loop (siehe Kapitel 7)</w:t>
            </w:r>
          </w:p>
        </w:tc>
      </w:tr>
    </w:tbl>
    <w:p>
      <w:pPr>
        <w:pStyle w:val="Heading1"/>
      </w:pPr>
      <w:r>
        <w:t>3. Installation &amp; Setup</w:t>
      </w:r>
    </w:p>
    <w:p>
      <w:r>
        <w:t>Das Setup gliedert sich in zwei unabhängige Teile: die Webanwendung (Node.js/npm) und die Scraper (teils TypeScript über ts-node, teils Python mit eigener virtueller Umgebung pro Scraping-Technologie). Die Webanwendung liest nur bereits vorhandene Daten aus Supabase – sie ist auch ohne laufende Scraper voll funktionsfähig, solange die Datenbank bereits Daten enthält.</w:t>
      </w:r>
    </w:p>
    <w:p>
      <w:pPr>
        <w:pStyle w:val="Heading2"/>
      </w:pPr>
      <w:r>
        <w:t>3.1 Voraussetzungen</w:t>
      </w:r>
    </w:p>
    <w:p>
      <w:pPr>
        <w:pStyle w:val="ListBullet"/>
      </w:pPr>
      <w:r>
        <w:t>Node.js ab v20 und npm ab v10 (für die Webanwendung und die Puppeteer-Scraper)</w:t>
      </w:r>
    </w:p>
    <w:p>
      <w:pPr>
        <w:pStyle w:val="ListBullet"/>
      </w:pPr>
      <w:r>
        <w:t>Python ab 3.11 (für Bright Data, ScrapeGraphAI und den Self-Healing-Loop) – in dieser Session verifiziert mit Python 3.13</w:t>
      </w:r>
    </w:p>
    <w:p>
      <w:pPr>
        <w:pStyle w:val="ListBullet"/>
      </w:pPr>
      <w:r>
        <w:t>Ein bestehendes Supabase-Projekt mit eingerichtetem Schema (siehe Kapitel 5)</w:t>
      </w:r>
    </w:p>
    <w:p>
      <w:pPr>
        <w:pStyle w:val="ListBullet"/>
      </w:pPr>
      <w:r>
        <w:t>Für ScrapeGraphAI zusätzlich: Zugriff auf das BFH-LLM-Gateway (siehe Hinweis in Kapitel 6.3 zur VPN-Voraussetzung)</w:t>
      </w:r>
    </w:p>
    <w:p>
      <w:pPr>
        <w:pStyle w:val="Heading2"/>
      </w:pPr>
      <w:r>
        <w:t>3.2 Webanwendung einrichten</w:t>
      </w:r>
    </w:p>
    <w:p>
      <w:pPr>
        <w:pStyle w:val="Code"/>
        <w:shd w:val="clear" w:color="auto" w:fill="F2F2F2"/>
        <w:pBdr>
          <w:top w:val="single" w:sz="4" w:space="4" w:color="CCCCCC"/>
          <w:left w:val="single" w:sz="4" w:space="4" w:color="CCCCCC"/>
          <w:bottom w:val="single" w:sz="4" w:space="4" w:color="CCCCCC"/>
          <w:right w:val="single" w:sz="4" w:space="4" w:color="CCCCCC"/>
        </w:pBdr>
      </w:pPr>
      <w:r>
        <w:t>git clone https://github.com/TamStefBFH/bachelor-thesis-comparison-portal.git</w:t>
      </w:r>
    </w:p>
    <w:p>
      <w:pPr>
        <w:pStyle w:val="Code"/>
        <w:shd w:val="clear" w:color="auto" w:fill="F2F2F2"/>
        <w:pBdr>
          <w:top w:val="single" w:sz="4" w:space="4" w:color="CCCCCC"/>
          <w:left w:val="single" w:sz="4" w:space="4" w:color="CCCCCC"/>
          <w:bottom w:val="single" w:sz="4" w:space="4" w:color="CCCCCC"/>
          <w:right w:val="single" w:sz="4" w:space="4" w:color="CCCCCC"/>
        </w:pBdr>
      </w:pPr>
      <w:r>
        <w:t>cd bachelor-thesis-comparison-portal</w:t>
      </w:r>
    </w:p>
    <w:p>
      <w:pPr>
        <w:pStyle w:val="Code"/>
        <w:shd w:val="clear" w:color="auto" w:fill="F2F2F2"/>
        <w:pBdr>
          <w:top w:val="single" w:sz="4" w:space="4" w:color="CCCCCC"/>
          <w:left w:val="single" w:sz="4" w:space="4" w:color="CCCCCC"/>
          <w:bottom w:val="single" w:sz="4" w:space="4" w:color="CCCCCC"/>
          <w:right w:val="single" w:sz="4" w:space="4" w:color="CCCCCC"/>
        </w:pBdr>
      </w:pPr>
      <w:r>
        <w:t>npm install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.env.example nach .env kopieren und Werte eintragen (siehe Kapitel 4)</w:t>
      </w:r>
    </w:p>
    <w:p>
      <w:pPr>
        <w:pStyle w:val="Code"/>
        <w:shd w:val="clear" w:color="auto" w:fill="F2F2F2"/>
        <w:pBdr>
          <w:top w:val="single" w:sz="4" w:space="4" w:color="CCCCCC"/>
          <w:left w:val="single" w:sz="4" w:space="4" w:color="CCCCCC"/>
          <w:bottom w:val="single" w:sz="4" w:space="4" w:color="CCCCCC"/>
          <w:right w:val="single" w:sz="4" w:space="4" w:color="CCCCCC"/>
        </w:pBdr>
      </w:pPr>
      <w:r>
        <w:t>cp .env.example .env</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npm run dev        # Entwicklungsserver, http://localhost:3000</w:t>
      </w:r>
    </w:p>
    <w:p>
      <w:pPr>
        <w:pStyle w:val="Code"/>
        <w:shd w:val="clear" w:color="auto" w:fill="F2F2F2"/>
        <w:pBdr>
          <w:top w:val="single" w:sz="4" w:space="4" w:color="CCCCCC"/>
          <w:left w:val="single" w:sz="4" w:space="4" w:color="CCCCCC"/>
          <w:bottom w:val="single" w:sz="4" w:space="4" w:color="CCCCCC"/>
          <w:right w:val="single" w:sz="4" w:space="4" w:color="CCCCCC"/>
        </w:pBdr>
      </w:pPr>
      <w:r>
        <w:t>npm run build       # Produktions-Build</w:t>
      </w:r>
    </w:p>
    <w:p>
      <w:pPr>
        <w:pStyle w:val="Code"/>
        <w:shd w:val="clear" w:color="auto" w:fill="F2F2F2"/>
        <w:pBdr>
          <w:top w:val="single" w:sz="4" w:space="4" w:color="CCCCCC"/>
          <w:left w:val="single" w:sz="4" w:space="4" w:color="CCCCCC"/>
          <w:bottom w:val="single" w:sz="4" w:space="4" w:color="CCCCCC"/>
          <w:right w:val="single" w:sz="4" w:space="4" w:color="CCCCCC"/>
        </w:pBdr>
      </w:pPr>
      <w:r>
        <w:t>npm start           # Produktions-Server</w:t>
      </w:r>
    </w:p>
    <w:p>
      <w:pPr>
        <w:spacing w:before="120" w:after="200"/>
        <w:ind w:left="227"/>
        <w:pBdr>
          <w:left w:val="single" w:sz="18" w:space="8" w:color="2F5496"/>
        </w:pBdr>
        <w:shd w:val="clear" w:color="auto" w:fill="EEF2FA"/>
      </w:pPr>
      <w:r>
        <w:rPr>
          <w:b/>
          <w:color w:val="2F5496"/>
        </w:rPr>
        <w:t xml:space="preserve">Hinweis: </w:t>
      </w:r>
      <w:r>
        <w:t>Zugangsdaten für das Supabase-Projekt werden aus Sicherheitsgründen nicht im Repository geführt. Für Evaluationszwecke können sie gemäss README.md auf Anfrage bei martt8@bfh.ch angefragt werden.</w:t>
      </w:r>
    </w:p>
    <w:p>
      <w:pPr>
        <w:pStyle w:val="Heading2"/>
      </w:pPr>
      <w:r>
        <w:t>3.3 Puppeteer-Scraper einrichten</w:t>
      </w:r>
    </w:p>
    <w:p>
      <w:r>
        <w:t>Die Puppeteer-Scraper sind Teil des npm-Projekts und benötigen keine eigene virtuelle Umgebung, aber ts-node und eine lokale Chromium-Installation von Puppeteer selbst:</w:t>
      </w:r>
    </w:p>
    <w:p>
      <w:pPr>
        <w:pStyle w:val="Code"/>
        <w:shd w:val="clear" w:color="auto" w:fill="F2F2F2"/>
        <w:pBdr>
          <w:top w:val="single" w:sz="4" w:space="4" w:color="CCCCCC"/>
          <w:left w:val="single" w:sz="4" w:space="4" w:color="CCCCCC"/>
          <w:bottom w:val="single" w:sz="4" w:space="4" w:color="CCCCCC"/>
          <w:right w:val="single" w:sz="4" w:space="4" w:color="CCCCCC"/>
        </w:pBdr>
      </w:pPr>
      <w:r>
        <w:t>npm install                          # installiert u. a. ts-node als Dev-Dependency</w:t>
      </w:r>
    </w:p>
    <w:p>
      <w:pPr>
        <w:pStyle w:val="Code"/>
        <w:shd w:val="clear" w:color="auto" w:fill="F2F2F2"/>
        <w:pBdr>
          <w:top w:val="single" w:sz="4" w:space="4" w:color="CCCCCC"/>
          <w:left w:val="single" w:sz="4" w:space="4" w:color="CCCCCC"/>
          <w:bottom w:val="single" w:sz="4" w:space="4" w:color="CCCCCC"/>
          <w:right w:val="single" w:sz="4" w:space="4" w:color="CCCCCC"/>
        </w:pBdr>
      </w:pPr>
      <w:r>
        <w:t>npx puppeteer browsers install chrome # lädt die von Puppeteer erwartete Chrome-Version</w:t>
      </w:r>
    </w:p>
    <w:p>
      <w:pPr>
        <w:spacing w:before="120" w:after="200"/>
        <w:ind w:left="227"/>
        <w:pBdr>
          <w:left w:val="single" w:sz="18" w:space="8" w:color="2F5496"/>
        </w:pBdr>
        <w:shd w:val="clear" w:color="auto" w:fill="EEF2FA"/>
      </w:pPr>
      <w:r>
        <w:rPr>
          <w:b/>
          <w:color w:val="2F5496"/>
        </w:rPr>
        <w:t xml:space="preserve">Hinweis: </w:t>
      </w:r>
      <w:r>
        <w:t>In dieser Session ist eine unvollständige Chrome-Extraktion aufgetreten (vermutlich durch Windows-Defender-Eingriff während des Entpackens unterbrochen). Symptom: puppeteer.launch() findet chrome.exe nicht. Abhilfe: den Cache-Ordner unter %USERPROFILE%\.cache\puppeteer\ prüfen und das Zip-Archiv notfalls manuell mit Expand-Archive an die von Puppeteer erwartete Stelle entpacken.</w:t>
      </w:r>
    </w:p>
    <w:p>
      <w:pPr>
        <w:pStyle w:val="Heading2"/>
      </w:pPr>
      <w:r>
        <w:t>3.4 Python-Scraper einrichten (Bright Data / ScrapeGraphAI)</w:t>
      </w:r>
    </w:p>
    <w:p>
      <w:r>
        <w:t>Bright Data und ScrapeGraphAI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pPr>
        <w:pStyle w:val="Code"/>
        <w:shd w:val="clear" w:color="auto" w:fill="F2F2F2"/>
        <w:pBdr>
          <w:top w:val="single" w:sz="4" w:space="4" w:color="CCCCCC"/>
          <w:left w:val="single" w:sz="4" w:space="4" w:color="CCCCCC"/>
          <w:bottom w:val="single" w:sz="4" w:space="4" w:color="CCCCCC"/>
          <w:right w:val="single" w:sz="4" w:space="4" w:color="CCCCCC"/>
        </w:pBdr>
      </w:pPr>
      <w:r>
        <w:t># 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python -m venv venv</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          # Windows</w:t>
      </w:r>
    </w:p>
    <w:p>
      <w:pPr>
        <w:pStyle w:val="Code"/>
        <w:shd w:val="clear" w:color="auto" w:fill="F2F2F2"/>
        <w:pBdr>
          <w:top w:val="single" w:sz="4" w:space="4" w:color="CCCCCC"/>
          <w:left w:val="single" w:sz="4" w:space="4" w:color="CCCCCC"/>
          <w:bottom w:val="single" w:sz="4" w:space="4" w:color="CCCCCC"/>
          <w:right w:val="single" w:sz="4" w:space="4" w:color="CCCCCC"/>
        </w:pBdr>
      </w:pPr>
      <w:r>
        <w:t># source venv/bin/activate         # macOS/Linux</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-r requirements.txt</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run_all_scrapers.py</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Bright Data (eigene, separate venv!)</w:t>
      </w:r>
    </w:p>
    <w:p>
      <w:pPr>
        <w:pStyle w:val="Code"/>
        <w:shd w:val="clear" w:color="auto" w:fill="F2F2F2"/>
        <w:pBdr>
          <w:top w:val="single" w:sz="4" w:space="4" w:color="CCCCCC"/>
          <w:left w:val="single" w:sz="4" w:space="4" w:color="CCCCCC"/>
          <w:bottom w:val="single" w:sz="4" w:space="4" w:color="CCCCCC"/>
          <w:right w:val="single" w:sz="4" w:space="4" w:color="CCCCCC"/>
        </w:pBdr>
      </w:pPr>
      <w:r>
        <w:t>cd ../brightdata</w:t>
      </w:r>
    </w:p>
    <w:p>
      <w:pPr>
        <w:pStyle w:val="Code"/>
        <w:shd w:val="clear" w:color="auto" w:fill="F2F2F2"/>
        <w:pBdr>
          <w:top w:val="single" w:sz="4" w:space="4" w:color="CCCCCC"/>
          <w:left w:val="single" w:sz="4" w:space="4" w:color="CCCCCC"/>
          <w:bottom w:val="single" w:sz="4" w:space="4" w:color="CCCCCC"/>
          <w:right w:val="single" w:sz="4" w:space="4" w:color="CCCCCC"/>
        </w:pBdr>
      </w:pPr>
      <w:r>
        <w:t>python -m venv venv</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-r requirements.txt</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run_all_brightdata.py</w:t>
      </w:r>
    </w:p>
    <w:p>
      <w:pPr>
        <w:pStyle w:val="Heading2"/>
      </w:pPr>
      <w:r>
        <w:t>3.5 Self-Healing-Loop einrichten</w:t>
      </w:r>
    </w:p>
    <w:p>
      <w:r>
        <w:t>Der Self-Healing-Loop (Kapitel 7) benötigt keine eigene venv – er kann die bereits vorhandene ScrapeGraphAI-venv mitbenutzen, da die Pakete supabase, python-dotenv und google-genai dort bereits vorhanden bzw. leicht ergänzbar sind:</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scraping/self-healing</w:t>
      </w:r>
    </w:p>
    <w:p>
      <w:pPr>
        <w:pStyle w:val="Code"/>
        <w:shd w:val="clear" w:color="auto" w:fill="F2F2F2"/>
        <w:pBdr>
          <w:top w:val="single" w:sz="4" w:space="4" w:color="CCCCCC"/>
          <w:left w:val="single" w:sz="4" w:space="4" w:color="CCCCCC"/>
          <w:bottom w:val="single" w:sz="4" w:space="4" w:color="CCCCCC"/>
          <w:right w:val="single" w:sz="4" w:space="4" w:color="CCCCCC"/>
        </w:pBdr>
      </w:pPr>
      <w:r>
        <w:t># ScrapeGraphAI-venv aktivieren (siehe 3.4) oder eigene venv anlegen</w:t>
      </w:r>
    </w:p>
    <w:p>
      <w:pPr>
        <w:pStyle w:val="Code"/>
        <w:shd w:val="clear" w:color="auto" w:fill="F2F2F2"/>
        <w:pBdr>
          <w:top w:val="single" w:sz="4" w:space="4" w:color="CCCCCC"/>
          <w:left w:val="single" w:sz="4" w:space="4" w:color="CCCCCC"/>
          <w:bottom w:val="single" w:sz="4" w:space="4" w:color="CCCCCC"/>
          <w:right w:val="single" w:sz="4" w:space="4" w:color="CCCCCC"/>
        </w:pBdr>
      </w:pPr>
      <w:r>
        <w:t>pip install google-genai</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--limit 5</w:t>
      </w:r>
    </w:p>
    <w:p>
      <w:pPr>
        <w:pStyle w:val="Heading1"/>
      </w:pPr>
      <w:r>
        <w:t>4. Konfiguration</w:t>
      </w:r>
    </w:p>
    <w:p>
      <w:r>
        <w:t>Alle Scraper und die Webanwendung lesen ihre Konfiguration aus einer einzigen .env-Datei im Projekt-Root (nicht aus mehreren verteilten .env-Dateien pro Scraper-Ordner). Python-Scraper ermitteln den Pfad zu dieser Datei relativ zum eigenen Skript-Verzeichnis (z. B. os.path.join(_THIS_DIR, "..", "..", ".env") in scrape_utils.py), sodass sie unabhängig vom aktuellen Arbeitsverzeichnis funktionieren, aus dem sie gestartet werden.</w:t>
      </w:r>
    </w:p>
    <w:p>
      <w:pPr>
        <w:pStyle w:val="Heading2"/>
      </w:pPr>
      <w:r>
        <w:t>4.1 Vollständige Variablenreferenz</w:t>
      </w:r>
    </w:p>
    <w:p>
      <w:pPr>
        <w:pStyle w:val="Caption2"/>
        <w:spacing w:after="40"/>
      </w:pPr>
      <w:r>
        <w:t>Tabelle 4: Umgebungsvariablen-Referenz</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Variable</w:t>
            </w:r>
          </w:p>
        </w:tc>
        <w:tc>
          <w:tcPr>
            <w:tcW w:type="dxa" w:w="3135"/>
            <w:shd w:val="clear" w:color="auto" w:fill="2F5496"/>
          </w:tcPr>
          <w:p>
            <w:r/>
            <w:r>
              <w:rPr>
                <w:b/>
                <w:color w:val="FFFFFF"/>
                <w:sz w:val="19"/>
              </w:rPr>
              <w:t>Zweck</w:t>
            </w:r>
          </w:p>
        </w:tc>
        <w:tc>
          <w:tcPr>
            <w:tcW w:type="dxa" w:w="3135"/>
            <w:shd w:val="clear" w:color="auto" w:fill="2F5496"/>
          </w:tcPr>
          <w:p>
            <w:r/>
            <w:r>
              <w:rPr>
                <w:b/>
                <w:color w:val="FFFFFF"/>
                <w:sz w:val="19"/>
              </w:rPr>
              <w:t>Verwendet von</w:t>
            </w:r>
          </w:p>
        </w:tc>
      </w:tr>
      <w:tr>
        <w:tc>
          <w:tcPr>
            <w:tcW w:type="dxa" w:w="3135"/>
          </w:tcPr>
          <w:p>
            <w:r/>
            <w:r>
              <w:rPr>
                <w:sz w:val="19"/>
              </w:rPr>
              <w:t>NEXT_PUBLIC_SUPABASE_URL</w:t>
            </w:r>
          </w:p>
        </w:tc>
        <w:tc>
          <w:tcPr>
            <w:tcW w:type="dxa" w:w="3135"/>
          </w:tcPr>
          <w:p>
            <w:r/>
            <w:r>
              <w:rPr>
                <w:sz w:val="19"/>
              </w:rPr>
              <w:t>Supabase-Projekt-URL</w:t>
            </w:r>
          </w:p>
        </w:tc>
        <w:tc>
          <w:tcPr>
            <w:tcW w:type="dxa" w:w="3135"/>
          </w:tcPr>
          <w:p>
            <w:r/>
            <w:r>
              <w:rPr>
                <w:sz w:val="19"/>
              </w:rPr>
              <w:t>Webanwendung + alle Scraper</w:t>
            </w:r>
          </w:p>
        </w:tc>
      </w:tr>
      <w:tr>
        <w:tc>
          <w:tcPr>
            <w:tcW w:type="dxa" w:w="3135"/>
          </w:tcPr>
          <w:p>
            <w:r/>
            <w:r>
              <w:rPr>
                <w:sz w:val="19"/>
              </w:rPr>
              <w:t>NEXT_PUBLIC_SUPABASE_ANON_KEY</w:t>
            </w:r>
          </w:p>
        </w:tc>
        <w:tc>
          <w:tcPr>
            <w:tcW w:type="dxa" w:w="3135"/>
          </w:tcPr>
          <w:p>
            <w:r/>
            <w:r>
              <w:rPr>
                <w:sz w:val="19"/>
              </w:rPr>
              <w:t>Öffentlicher Anon-Key (nur Lesezugriff dank RLS, siehe Kap. 5.4)</w:t>
            </w:r>
          </w:p>
        </w:tc>
        <w:tc>
          <w:tcPr>
            <w:tcW w:type="dxa" w:w="3135"/>
          </w:tcPr>
          <w:p>
            <w:r/>
            <w:r>
              <w:rPr>
                <w:sz w:val="19"/>
              </w:rPr>
              <w:t>Webanwendung (Browser + SSR)</w:t>
            </w:r>
          </w:p>
        </w:tc>
      </w:tr>
      <w:tr>
        <w:tc>
          <w:tcPr>
            <w:tcW w:type="dxa" w:w="3135"/>
          </w:tcPr>
          <w:p>
            <w:r/>
            <w:r>
              <w:rPr>
                <w:sz w:val="19"/>
              </w:rPr>
              <w:t>SUPABASE_SERVICE_ROLE_KEY</w:t>
            </w:r>
          </w:p>
        </w:tc>
        <w:tc>
          <w:tcPr>
            <w:tcW w:type="dxa" w:w="3135"/>
          </w:tcPr>
          <w:p>
            <w:r/>
            <w:r>
              <w:rPr>
                <w:sz w:val="19"/>
              </w:rPr>
              <w:t>Service-Role-Key mit vollem Schreibzugriff, umgeht RLS</w:t>
            </w:r>
          </w:p>
        </w:tc>
        <w:tc>
          <w:tcPr>
            <w:tcW w:type="dxa" w:w="3135"/>
          </w:tcPr>
          <w:p>
            <w:r/>
            <w:r>
              <w:rPr>
                <w:sz w:val="19"/>
              </w:rPr>
              <w:t>alle Scraper (server-seitig)</w:t>
            </w:r>
          </w:p>
        </w:tc>
      </w:tr>
      <w:tr>
        <w:tc>
          <w:tcPr>
            <w:tcW w:type="dxa" w:w="3135"/>
          </w:tcPr>
          <w:p>
            <w:r/>
            <w:r>
              <w:rPr>
                <w:sz w:val="19"/>
              </w:rPr>
              <w:t>BRIGHT_DATA_API_TOKEN</w:t>
            </w:r>
          </w:p>
        </w:tc>
        <w:tc>
          <w:tcPr>
            <w:tcW w:type="dxa" w:w="3135"/>
          </w:tcPr>
          <w:p>
            <w:r/>
            <w:r>
              <w:rPr>
                <w:sz w:val="19"/>
              </w:rPr>
              <w:t>Auth-Token für die Bright-Data-API</w:t>
            </w:r>
          </w:p>
        </w:tc>
        <w:tc>
          <w:tcPr>
            <w:tcW w:type="dxa" w:w="3135"/>
          </w:tcPr>
          <w:p>
            <w:r/>
            <w:r>
              <w:rPr>
                <w:sz w:val="19"/>
              </w:rPr>
              <w:t>scraping/brightdata/</w:t>
            </w:r>
          </w:p>
        </w:tc>
      </w:tr>
      <w:tr>
        <w:tc>
          <w:tcPr>
            <w:tcW w:type="dxa" w:w="3135"/>
          </w:tcPr>
          <w:p>
            <w:r/>
            <w:r>
              <w:rPr>
                <w:sz w:val="19"/>
              </w:rPr>
              <w:t>BRIGHT_DATA_COLLECTOR_ID_AVIDII / _GYMIVORBEREITUNG_ZUERICH / _LEARNING_CULTURE / _LERNFORUM / _NACHHILFE_AKADEMIE</w:t>
            </w:r>
          </w:p>
        </w:tc>
        <w:tc>
          <w:tcPr>
            <w:tcW w:type="dxa" w:w="3135"/>
          </w:tcPr>
          <w:p>
            <w:r/>
            <w:r>
              <w:rPr>
                <w:sz w:val="19"/>
              </w:rPr>
              <w:t>Collector-IDs, je einer pro Bright-Data-fähigem Anbieter (5 St.)</w:t>
            </w:r>
          </w:p>
        </w:tc>
        <w:tc>
          <w:tcPr>
            <w:tcW w:type="dxa" w:w="3135"/>
          </w:tcPr>
          <w:p>
            <w:r/>
            <w:r>
              <w:rPr>
                <w:sz w:val="19"/>
              </w:rPr>
              <w:t>scraping/brightdata/</w:t>
            </w:r>
          </w:p>
        </w:tc>
      </w:tr>
      <w:tr>
        <w:tc>
          <w:tcPr>
            <w:tcW w:type="dxa" w:w="3135"/>
          </w:tcPr>
          <w:p>
            <w:r/>
            <w:r>
              <w:rPr>
                <w:sz w:val="19"/>
              </w:rPr>
              <w:t>BFH_LLM_API_KEY</w:t>
            </w:r>
          </w:p>
        </w:tc>
        <w:tc>
          <w:tcPr>
            <w:tcW w:type="dxa" w:w="3135"/>
          </w:tcPr>
          <w:p>
            <w:r/>
            <w:r>
              <w:rPr>
                <w:sz w:val="19"/>
              </w:rPr>
              <w:t>API-Key für das interne BFH-LLM-Gateway</w:t>
            </w:r>
          </w:p>
        </w:tc>
        <w:tc>
          <w:tcPr>
            <w:tcW w:type="dxa" w:w="3135"/>
          </w:tcPr>
          <w:p>
            <w:r/>
            <w:r>
              <w:rPr>
                <w:sz w:val="19"/>
              </w:rPr>
              <w:t>scraping/scrapegraphai/, scraping/zap-info/</w:t>
            </w:r>
          </w:p>
        </w:tc>
      </w:tr>
      <w:tr>
        <w:tc>
          <w:tcPr>
            <w:tcW w:type="dxa" w:w="3135"/>
          </w:tcPr>
          <w:p>
            <w:r/>
            <w:r>
              <w:rPr>
                <w:sz w:val="19"/>
              </w:rPr>
              <w:t>GEMINI_API_KEY</w:t>
            </w:r>
          </w:p>
        </w:tc>
        <w:tc>
          <w:tcPr>
            <w:tcW w:type="dxa" w:w="3135"/>
          </w:tcPr>
          <w:p>
            <w:r/>
            <w:r>
              <w:rPr>
                <w:sz w:val="19"/>
              </w:rPr>
              <w:t>API-Key für Google Gemini 2.5 Flash</w:t>
            </w:r>
          </w:p>
        </w:tc>
        <w:tc>
          <w:tcPr>
            <w:tcW w:type="dxa" w:w="3135"/>
          </w:tcPr>
          <w:p>
            <w:r/>
            <w:r>
              <w:rPr>
                <w:sz w:val="19"/>
              </w:rPr>
              <w:t>scraping/self-healing/</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Der BFH-LLM-Endpunkt (https://inference.mlmp.ti.bfh.ch/api/v1) und das Modell (gpt-oss:120b) sind in scraping/scrapegraphai/scrape_utils.py hartcodiert, nicht über eine eigene Umgebungsvariable konfigurierbar. Wer den Endpunkt ändern will, muss den Code anpassen.</w:t>
      </w:r>
    </w:p>
    <w:p>
      <w:pPr>
        <w:pStyle w:val="Heading2"/>
      </w:pPr>
      <w:r>
        <w:t>4.2 Weitere Konfigurationsdateien</w:t>
      </w:r>
    </w:p>
    <w:p>
      <w:pPr>
        <w:pStyle w:val="Caption2"/>
        <w:spacing w:after="40"/>
      </w:pPr>
      <w:r>
        <w:t>Tabelle 5: Weitere Konfigurationsdateien</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Datei</w:t>
            </w:r>
          </w:p>
        </w:tc>
        <w:tc>
          <w:tcPr>
            <w:tcW w:type="dxa" w:w="4703"/>
            <w:shd w:val="clear" w:color="auto" w:fill="2F5496"/>
          </w:tcPr>
          <w:p>
            <w:r/>
            <w:r>
              <w:rPr>
                <w:b/>
                <w:color w:val="FFFFFF"/>
                <w:sz w:val="19"/>
              </w:rPr>
              <w:t>Zweck</w:t>
            </w:r>
          </w:p>
        </w:tc>
      </w:tr>
      <w:tr>
        <w:tc>
          <w:tcPr>
            <w:tcW w:type="dxa" w:w="4703"/>
          </w:tcPr>
          <w:p>
            <w:r/>
            <w:r>
              <w:rPr>
                <w:sz w:val="19"/>
              </w:rPr>
              <w:t>tsconfig.json</w:t>
            </w:r>
          </w:p>
        </w:tc>
        <w:tc>
          <w:tcPr>
            <w:tcW w:type="dxa" w:w="4703"/>
          </w:tcPr>
          <w:p>
            <w:r/>
            <w:r>
              <w:rPr>
                <w:sz w:val="19"/>
              </w:rPr>
              <w:t>Haupt-TypeScript-Konfiguration der Next.js-App (strict mode)</w:t>
            </w:r>
          </w:p>
        </w:tc>
      </w:tr>
      <w:tr>
        <w:tc>
          <w:tcPr>
            <w:tcW w:type="dxa" w:w="4703"/>
          </w:tcPr>
          <w:p>
            <w:r/>
            <w:r>
              <w:rPr>
                <w:sz w:val="19"/>
              </w:rPr>
              <w:t>tsconfig.scraper.json</w:t>
            </w:r>
          </w:p>
        </w:tc>
        <w:tc>
          <w:tcPr>
            <w:tcW w:type="dxa" w:w="4703"/>
          </w:tcPr>
          <w:p>
            <w:r/>
            <w:r>
              <w:rPr>
                <w:sz w:val="19"/>
              </w:rPr>
              <w:t>Separate Konfiguration nur für die Puppeteer-Scraper; erzwingt CommonJS-Module/-Resolution, damit ts-node und tsconfig-paths mit dem sonst ESM-orientierten Next.js-Setup kompatibel bleiben</w:t>
            </w:r>
          </w:p>
        </w:tc>
      </w:tr>
      <w:tr>
        <w:tc>
          <w:tcPr>
            <w:tcW w:type="dxa" w:w="4703"/>
          </w:tcPr>
          <w:p>
            <w:r/>
            <w:r>
              <w:rPr>
                <w:sz w:val="19"/>
              </w:rPr>
              <w:t>jest.config.js</w:t>
            </w:r>
          </w:p>
        </w:tc>
        <w:tc>
          <w:tcPr>
            <w:tcW w:type="dxa" w:w="4703"/>
          </w:tcPr>
          <w:p>
            <w:r/>
            <w:r>
              <w:rPr>
                <w:sz w:val="19"/>
              </w:rPr>
              <w:t>ts-jest-Preset, jsdom-Umgebung, @/-Pfad-Alias, ignoriert scraping/ explizit (Python-Scraper sind nicht Teil des Jest-Laufs)</w:t>
            </w:r>
          </w:p>
        </w:tc>
      </w:tr>
      <w:tr>
        <w:tc>
          <w:tcPr>
            <w:tcW w:type="dxa" w:w="4703"/>
          </w:tcPr>
          <w:p>
            <w:r/>
            <w:r>
              <w:rPr>
                <w:sz w:val="19"/>
              </w:rPr>
              <w:t>components.json</w:t>
            </w:r>
          </w:p>
        </w:tc>
        <w:tc>
          <w:tcPr>
            <w:tcW w:type="dxa" w:w="4703"/>
          </w:tcPr>
          <w:p>
            <w:r/>
            <w:r>
              <w:rPr>
                <w:sz w:val="19"/>
              </w:rPr>
              <w:t>shadcn/ui-Konfiguration (Stil „new-york“)</w:t>
            </w:r>
          </w:p>
        </w:tc>
      </w:tr>
      <w:tr>
        <w:tc>
          <w:tcPr>
            <w:tcW w:type="dxa" w:w="4703"/>
          </w:tcPr>
          <w:p>
            <w:r/>
            <w:r>
              <w:rPr>
                <w:sz w:val="19"/>
              </w:rPr>
              <w:t>i18n/routing.ts</w:t>
            </w:r>
          </w:p>
        </w:tc>
        <w:tc>
          <w:tcPr>
            <w:tcW w:type="dxa" w:w="4703"/>
          </w:tcPr>
          <w:p>
            <w:r/>
            <w:r>
              <w:rPr>
                <w:sz w:val="19"/>
              </w:rPr>
              <w:t>next-intl: Locales ['de','en'], Default 'de', localePrefix 'always'</w:t>
            </w:r>
          </w:p>
        </w:tc>
      </w:tr>
    </w:tbl>
    <w:p>
      <w:pPr>
        <w:spacing w:after="200"/>
      </w:pPr>
    </w:p>
    <w:p>
      <w:pPr>
        <w:pStyle w:val="Heading1"/>
      </w:pPr>
      <w:r>
        <w:t>5. Datenmodell (Supabase-Schema &amp; Sicherheit)</w:t>
      </w:r>
    </w:p>
    <w:p>
      <w:r>
        <w:t>Die Datenbank besteht aus acht Tabellen im public-Schema. Zwei davon (GymiProviders, CourseDetails) stammen noch aus dem ursprünglichen Prototyp und tragen daher deutsche, teils mit Leerzeichen versehene Spaltennamen (z. B. "Preis Langzeit Kurs", "info freien Plätze?"); die übrigen sechs Tabellen wurden im Rahmen der BT neu eingeführt und folgen durchgehend dem snake_case-Namensschema.</w:t>
      </w:r>
    </w:p>
    <w:p>
      <w:pPr>
        <w:jc w:val="center"/>
      </w:pPr>
      <w:r>
        <w:drawing>
          <wp:inline xmlns:a="http://schemas.openxmlformats.org/drawingml/2006/main" xmlns:pic="http://schemas.openxmlformats.org/drawingml/2006/picture">
            <wp:extent cx="5580000" cy="4087796"/>
            <wp:docPr id="1" name="Picture 1"/>
            <wp:cNvGraphicFramePr>
              <a:graphicFrameLocks noChangeAspect="1"/>
            </wp:cNvGraphicFramePr>
            <a:graphic>
              <a:graphicData uri="http://schemas.openxmlformats.org/drawingml/2006/picture">
                <pic:pic>
                  <pic:nvPicPr>
                    <pic:cNvPr id="0" name="fig10-erd-conceptual.png"/>
                    <pic:cNvPicPr/>
                  </pic:nvPicPr>
                  <pic:blipFill>
                    <a:blip r:embed="rId10"/>
                    <a:stretch>
                      <a:fillRect/>
                    </a:stretch>
                  </pic:blipFill>
                  <pic:spPr>
                    <a:xfrm>
                      <a:off x="0" y="0"/>
                      <a:ext cx="5580000" cy="4087796"/>
                    </a:xfrm>
                    <a:prstGeom prst="rect"/>
                  </pic:spPr>
                </pic:pic>
              </a:graphicData>
            </a:graphic>
          </wp:inline>
        </w:drawing>
      </w:r>
    </w:p>
    <w:p>
      <w:pPr>
        <w:pStyle w:val="Caption2"/>
        <w:jc w:val="center"/>
      </w:pPr>
      <w:r>
        <w:t>Abbildung 1: Konzeptionelle Beziehung der beiden ältesten Tabellen aus dem ursprünglichen Prototyp: GymiProviders (Anbieter-Stammdaten) und CourseDetails (1:1 ergänzende Metadaten) (Quelle: BT Fig. 10).</w:t>
      </w:r>
    </w:p>
    <w:p>
      <w:pPr>
        <w:jc w:val="center"/>
      </w:pPr>
      <w:r>
        <w:drawing>
          <wp:inline xmlns:a="http://schemas.openxmlformats.org/drawingml/2006/main" xmlns:pic="http://schemas.openxmlformats.org/drawingml/2006/picture">
            <wp:extent cx="5580000" cy="5819338"/>
            <wp:docPr id="2" name="Picture 2"/>
            <wp:cNvGraphicFramePr>
              <a:graphicFrameLocks noChangeAspect="1"/>
            </wp:cNvGraphicFramePr>
            <a:graphic>
              <a:graphicData uri="http://schemas.openxmlformats.org/drawingml/2006/picture">
                <pic:pic>
                  <pic:nvPicPr>
                    <pic:cNvPr id="0" name="fig50-erd-full.png"/>
                    <pic:cNvPicPr/>
                  </pic:nvPicPr>
                  <pic:blipFill>
                    <a:blip r:embed="rId11"/>
                    <a:stretch>
                      <a:fillRect/>
                    </a:stretch>
                  </pic:blipFill>
                  <pic:spPr>
                    <a:xfrm>
                      <a:off x="0" y="0"/>
                      <a:ext cx="5580000" cy="5819338"/>
                    </a:xfrm>
                    <a:prstGeom prst="rect"/>
                  </pic:spPr>
                </pic:pic>
              </a:graphicData>
            </a:graphic>
          </wp:inline>
        </w:drawing>
      </w:r>
    </w:p>
    <w:p>
      <w:pPr>
        <w:pStyle w:val="Caption2"/>
        <w:jc w:val="center"/>
      </w:pPr>
      <w:r>
        <w:t>Abbildung 2: Vollständiges Datenmodell aller acht produktiven Tabellen mit Fremdschlüssel-Beziehungen (Quelle: BT Fig. 50, Anhang 15.4 – gegen das aktuelle Live-Schema geprüft und bestätigt unverändert).</w:t>
      </w:r>
    </w:p>
    <w:p>
      <w:pPr>
        <w:pStyle w:val="Heading2"/>
      </w:pPr>
      <w:r>
        <w:t>5.1 Tabellenreferenz</w:t>
      </w:r>
    </w:p>
    <w:p>
      <w:pPr>
        <w:pStyle w:val="Caption2"/>
        <w:spacing w:after="40"/>
      </w:pPr>
      <w:r>
        <w:t>Tabelle 6: Übersicht der Datenbanktabellen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Zweck</w:t>
            </w:r>
          </w:p>
        </w:tc>
        <w:tc>
          <w:tcPr>
            <w:tcW w:type="dxa" w:w="3135"/>
            <w:shd w:val="clear" w:color="auto" w:fill="2F5496"/>
          </w:tcPr>
          <w:p>
            <w:r/>
            <w:r>
              <w:rPr>
                <w:b/>
                <w:color w:val="FFFFFF"/>
                <w:sz w:val="19"/>
              </w:rPr>
              <w:t>Wichtige Felder</w:t>
            </w:r>
          </w:p>
        </w:tc>
      </w:tr>
      <w:tr>
        <w:tc>
          <w:tcPr>
            <w:tcW w:type="dxa" w:w="3135"/>
          </w:tcPr>
          <w:p>
            <w:r/>
            <w:r>
              <w:rPr>
                <w:sz w:val="19"/>
              </w:rPr>
              <w:t>GymiProviders</w:t>
            </w:r>
          </w:p>
        </w:tc>
        <w:tc>
          <w:tcPr>
            <w:tcW w:type="dxa" w:w="3135"/>
          </w:tcPr>
          <w:p>
            <w:r/>
            <w:r>
              <w:rPr>
                <w:sz w:val="19"/>
              </w:rPr>
              <w:t>Stammdaten je Anbieter (bestehend seit Prototyp)</w:t>
            </w:r>
          </w:p>
        </w:tc>
        <w:tc>
          <w:tcPr>
            <w:tcW w:type="dxa" w:w="3135"/>
          </w:tcPr>
          <w:p>
            <w:r/>
            <w:r>
              <w:rPr>
                <w:sz w:val="19"/>
              </w:rPr>
              <w:t>ID (PK), Name, URL[], diverse Boolean-Merkmale (E-Learning, Aufsatzkorrektur, ...)</w:t>
            </w:r>
          </w:p>
        </w:tc>
      </w:tr>
      <w:tr>
        <w:tc>
          <w:tcPr>
            <w:tcW w:type="dxa" w:w="3135"/>
          </w:tcPr>
          <w:p>
            <w:r/>
            <w:r>
              <w:rPr>
                <w:sz w:val="19"/>
              </w:rPr>
              <w:t>CourseDetails</w:t>
            </w:r>
          </w:p>
        </w:tc>
        <w:tc>
          <w:tcPr>
            <w:tcW w:type="dxa" w:w="3135"/>
          </w:tcPr>
          <w:p>
            <w:r/>
            <w:r>
              <w:rPr>
                <w:sz w:val="19"/>
              </w:rPr>
              <w:t>Ergänzende Anbieter-Metadaten, 1:1 zu GymiProviders</w:t>
            </w:r>
          </w:p>
        </w:tc>
        <w:tc>
          <w:tcPr>
            <w:tcW w:type="dxa" w:w="3135"/>
          </w:tcPr>
          <w:p>
            <w:r/>
            <w:r>
              <w:rPr>
                <w:sz w:val="19"/>
              </w:rPr>
              <w:t>ID (PK+FK), Standort, Unterrichttag, Prüfungsarchiv, ...</w:t>
            </w:r>
          </w:p>
        </w:tc>
      </w:tr>
      <w:tr>
        <w:tc>
          <w:tcPr>
            <w:tcW w:type="dxa" w:w="3135"/>
          </w:tcPr>
          <w:p>
            <w:r/>
            <w:r>
              <w:rPr>
                <w:sz w:val="19"/>
              </w:rPr>
              <w:t>courses</w:t>
            </w:r>
          </w:p>
        </w:tc>
        <w:tc>
          <w:tcPr>
            <w:tcW w:type="dxa" w:w="3135"/>
          </w:tcPr>
          <w:p>
            <w:r/>
            <w:r>
              <w:rPr>
                <w:sz w:val="19"/>
              </w:rPr>
              <w:t>Zentrale Tabelle: eine Zeile pro gescraptem Kurs</w:t>
            </w:r>
          </w:p>
        </w:tc>
        <w:tc>
          <w:tcPr>
            <w:tcW w:type="dxa" w:w="3135"/>
          </w:tcPr>
          <w:p>
            <w:r/>
            <w:r>
              <w:rPr>
                <w:sz w:val="19"/>
              </w:rPr>
              <w:t>id (uuid), provider_id (FK), scraper_method, course_type, price_chf, start_date/end_date, verfügbarkeit</w:t>
            </w:r>
          </w:p>
        </w:tc>
      </w:tr>
      <w:tr>
        <w:tc>
          <w:tcPr>
            <w:tcW w:type="dxa" w:w="3135"/>
          </w:tcPr>
          <w:p>
            <w:r/>
            <w:r>
              <w:rPr>
                <w:sz w:val="19"/>
              </w:rPr>
              <w:t>price_history</w:t>
            </w:r>
          </w:p>
        </w:tc>
        <w:tc>
          <w:tcPr>
            <w:tcW w:type="dxa" w:w="3135"/>
          </w:tcPr>
          <w:p>
            <w:r/>
            <w:r>
              <w:rPr>
                <w:sz w:val="19"/>
              </w:rPr>
              <w:t>Append-only-Protokoll der Durchschnittspreise je Lauf</w:t>
            </w:r>
          </w:p>
        </w:tc>
        <w:tc>
          <w:tcPr>
            <w:tcW w:type="dxa" w:w="3135"/>
          </w:tcPr>
          <w:p>
            <w:r/>
            <w:r>
              <w:rPr>
                <w:sz w:val="19"/>
              </w:rPr>
              <w:t>provider_id (FK), course_type, price_chf, recorded_at</w:t>
            </w:r>
          </w:p>
        </w:tc>
      </w:tr>
      <w:tr>
        <w:tc>
          <w:tcPr>
            <w:tcW w:type="dxa" w:w="3135"/>
          </w:tcPr>
          <w:p>
            <w:r/>
            <w:r>
              <w:rPr>
                <w:sz w:val="19"/>
              </w:rPr>
              <w:t>scrape_runs</w:t>
            </w:r>
          </w:p>
        </w:tc>
        <w:tc>
          <w:tcPr>
            <w:tcW w:type="dxa" w:w="3135"/>
          </w:tcPr>
          <w:p>
            <w:r/>
            <w:r>
              <w:rPr>
                <w:sz w:val="19"/>
              </w:rPr>
              <w:t>Lebenszyklus jedes Scraper-Laufs</w:t>
            </w:r>
          </w:p>
        </w:tc>
        <w:tc>
          <w:tcPr>
            <w:tcW w:type="dxa" w:w="3135"/>
          </w:tcPr>
          <w:p>
            <w:r/>
            <w:r>
              <w:rPr>
                <w:sz w:val="19"/>
              </w:rPr>
              <w:t>id (uuid), scraper_method, provider_id (FK), status, courses_found, error_count</w:t>
            </w:r>
          </w:p>
        </w:tc>
      </w:tr>
      <w:tr>
        <w:tc>
          <w:tcPr>
            <w:tcW w:type="dxa" w:w="3135"/>
          </w:tcPr>
          <w:p>
            <w:r/>
            <w:r>
              <w:rPr>
                <w:sz w:val="19"/>
              </w:rPr>
              <w:t>scrape_errors</w:t>
            </w:r>
          </w:p>
        </w:tc>
        <w:tc>
          <w:tcPr>
            <w:tcW w:type="dxa" w:w="3135"/>
          </w:tcPr>
          <w:p>
            <w:r/>
            <w:r>
              <w:rPr>
                <w:sz w:val="19"/>
              </w:rPr>
              <w:t>Einzelne Fehler pro Lauf, Input für Self-Healing</w:t>
            </w:r>
          </w:p>
        </w:tc>
        <w:tc>
          <w:tcPr>
            <w:tcW w:type="dxa" w:w="3135"/>
          </w:tcPr>
          <w:p>
            <w:r/>
            <w:r>
              <w:rPr>
                <w:sz w:val="19"/>
              </w:rPr>
              <w:t>run_id (FK), provider_id (FK), error_type, message, html_snapshot, fixed_by_ai</w:t>
            </w:r>
          </w:p>
        </w:tc>
      </w:tr>
      <w:tr>
        <w:tc>
          <w:tcPr>
            <w:tcW w:type="dxa" w:w="3135"/>
          </w:tcPr>
          <w:p>
            <w:r/>
            <w:r>
              <w:rPr>
                <w:sz w:val="19"/>
              </w:rPr>
              <w:t>scraper_registry</w:t>
            </w:r>
          </w:p>
        </w:tc>
        <w:tc>
          <w:tcPr>
            <w:tcW w:type="dxa" w:w="3135"/>
          </w:tcPr>
          <w:p>
            <w:r/>
            <w:r>
              <w:rPr>
                <w:sz w:val="19"/>
              </w:rPr>
              <w:t>Live editierbare Selektoren/Prompts, von Self-Healing geschrieben</w:t>
            </w:r>
          </w:p>
        </w:tc>
        <w:tc>
          <w:tcPr>
            <w:tcW w:type="dxa" w:w="3135"/>
          </w:tcPr>
          <w:p>
            <w:r/>
            <w:r>
              <w:rPr>
                <w:sz w:val="19"/>
              </w:rPr>
              <w:t>provider_id (FK), scraper_method, field_name, current_value, fallback_value</w:t>
            </w:r>
          </w:p>
        </w:tc>
      </w:tr>
      <w:tr>
        <w:tc>
          <w:tcPr>
            <w:tcW w:type="dxa" w:w="3135"/>
          </w:tcPr>
          <w:p>
            <w:r/>
            <w:r>
              <w:rPr>
                <w:sz w:val="19"/>
              </w:rPr>
              <w:t>zap_info</w:t>
            </w:r>
          </w:p>
        </w:tc>
        <w:tc>
          <w:tcPr>
            <w:tcW w:type="dxa" w:w="3135"/>
          </w:tcPr>
          <w:p>
            <w:r/>
            <w:r>
              <w:rPr>
                <w:sz w:val="19"/>
              </w:rPr>
              <w:t>Offizielle ZAP-Prüfungstermine (kantonale Quelle, siehe Kap. 8)</w:t>
            </w:r>
          </w:p>
        </w:tc>
        <w:tc>
          <w:tcPr>
            <w:tcW w:type="dxa" w:w="3135"/>
          </w:tcPr>
          <w:p>
            <w:r/>
            <w:r>
              <w:rPr>
                <w:sz w:val="19"/>
              </w:rPr>
              <w:t>scope, school_year, exam_date, exam_subjects (jsonb), notes/notes_en</w:t>
            </w:r>
          </w:p>
        </w:tc>
      </w:tr>
    </w:tbl>
    <w:p>
      <w:pPr>
        <w:spacing w:after="200"/>
      </w:pPr>
    </w:p>
    <w:p>
      <w:pPr>
        <w:pStyle w:val="Heading2"/>
      </w:pPr>
      <w:r>
        <w:t>5.2 Das courses-Schema im Detail</w:t>
      </w:r>
    </w:p>
    <w:p>
      <w:r>
        <w:t>courses ist die einzige Tabelle, in die alle drei Scraping-Methoden gemeinsam schreiben. Jeder Scraper löscht bei jedem Lauf zunächst nur seine eigenen Zeilen (gefiltert nach provider_id und scraper_method) und fügt danach die neu gescrapten Kurse ein. Dadurch koexistieren für denselben Anbieter bis zu drei Datensätze pro Kurs – einer je Methode – was den direkten Vergleich der drei Technologien erst ermöglicht. Die Webanwendung filtert für die Nutzeransicht standardmässig auf scraper_method = 'scrapegraphai' (als einzige Methode mit Abdeckung aller 12 Anbieter, konfiguriert über PRIMARY_SCRAPER_METHOD in app/[locale]/page.tsx).</w:t>
      </w:r>
    </w:p>
    <w:p>
      <w:pPr>
        <w:pStyle w:val="Heading2"/>
      </w:pPr>
      <w:r>
        <w:t>5.3 scraper_registry und der Self-Healing-Kreislauf</w:t>
      </w:r>
    </w:p>
    <w:p>
      <w:r>
        <w:t>scraper_registry ist die Schnittstelle zwischen den Scrapern und dem Self-Healing-Loop (Kapitel 7): Statt CSS-Selektoren oder LLM-Prompts fest im Code zu verdrahten, können Scraper ihren aktuellen Wert zur Laufzeit aus dieser Tabelle laden. Der Self-Healing-Loop schreibt verbesserte Werte dorthin zurück – ohne dass ein Redeploy des Codes nötig ist. Aktuell ist dieser Rücklese-Mechanismus nur für den Avidii-ScrapeGraphAI-Scraper tatsächlich verdrahtet (load_prompt() in sGAI_avidiiScraper.py); für die übrigen elf ScrapeGraphAI-Scraper und alle Puppeteer-Scraper bleibt scraper_registry vorerst nur Ablage, ohne dass der jeweilige Scraper sie beim Start selbst ausliest.</w:t>
      </w:r>
    </w:p>
    <w:p>
      <w:pPr>
        <w:pStyle w:val="Heading2"/>
      </w:pPr>
      <w:r>
        <w:t>5.4 Row Level Security (RLS)</w:t>
      </w:r>
    </w:p>
    <w:p>
      <w:r>
        <w:t>Alle acht Tabellen tragen eine „Public read access“-Policy, die anonymen Lesezugriff erlaubt – das ist so gewollt, da die Webanwendung mit dem öffentlichen Anon-Key liest. Entscheidend ist aber, ob RLS auf der jeweiligen Tabelle überhaupt aktiviert ist: Nur wenn das der Fall ist, greifen die definierten Policies auch tatsächlich.</w:t>
      </w:r>
    </w:p>
    <w:p>
      <w:pPr>
        <w:pStyle w:val="Caption2"/>
        <w:spacing w:after="40"/>
      </w:pPr>
      <w:r>
        <w:t>Tabelle 7: RLS-Status je Tabelle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RLS aktiviert?</w:t>
            </w:r>
          </w:p>
        </w:tc>
        <w:tc>
          <w:tcPr>
            <w:tcW w:type="dxa" w:w="3135"/>
            <w:shd w:val="clear" w:color="auto" w:fill="2F5496"/>
          </w:tcPr>
          <w:p>
            <w:r/>
            <w:r>
              <w:rPr>
                <w:b/>
                <w:color w:val="FFFFFF"/>
                <w:sz w:val="19"/>
              </w:rPr>
              <w:t>Konsequenz</w:t>
            </w:r>
          </w:p>
        </w:tc>
      </w:tr>
      <w:tr>
        <w:tc>
          <w:tcPr>
            <w:tcW w:type="dxa" w:w="3135"/>
          </w:tcPr>
          <w:p>
            <w:r/>
            <w:r>
              <w:rPr>
                <w:sz w:val="19"/>
              </w:rPr>
              <w:t>GymiProviders</w:t>
            </w:r>
          </w:p>
        </w:tc>
        <w:tc>
          <w:tcPr>
            <w:tcW w:type="dxa" w:w="3135"/>
          </w:tcPr>
          <w:p>
            <w:r/>
            <w:r>
              <w:rPr>
                <w:sz w:val="19"/>
              </w:rPr>
              <w:t>Ja</w:t>
            </w:r>
          </w:p>
        </w:tc>
        <w:tc>
          <w:tcPr>
            <w:tcW w:type="dxa" w:w="3135"/>
          </w:tcPr>
          <w:p>
            <w:r/>
            <w:r>
              <w:rPr>
                <w:sz w:val="19"/>
              </w:rPr>
              <w:t>Nur Lesezugriff für Anon-/Authenticated-Rolle; Schreiben nur über Service-Role-Key</w:t>
            </w:r>
          </w:p>
        </w:tc>
      </w:tr>
      <w:tr>
        <w:tc>
          <w:tcPr>
            <w:tcW w:type="dxa" w:w="3135"/>
          </w:tcPr>
          <w:p>
            <w:r/>
            <w:r>
              <w:rPr>
                <w:sz w:val="19"/>
              </w:rPr>
              <w:t>CourseDetails</w:t>
            </w:r>
          </w:p>
        </w:tc>
        <w:tc>
          <w:tcPr>
            <w:tcW w:type="dxa" w:w="3135"/>
          </w:tcPr>
          <w:p>
            <w:r/>
            <w:r>
              <w:rPr>
                <w:sz w:val="19"/>
              </w:rPr>
              <w:t>Ja</w:t>
            </w:r>
          </w:p>
        </w:tc>
        <w:tc>
          <w:tcPr>
            <w:tcW w:type="dxa" w:w="3135"/>
          </w:tcPr>
          <w:p>
            <w:r/>
            <w:r>
              <w:rPr>
                <w:sz w:val="19"/>
              </w:rPr>
              <w:t>wie oben</w:t>
            </w:r>
          </w:p>
        </w:tc>
      </w:tr>
      <w:tr>
        <w:tc>
          <w:tcPr>
            <w:tcW w:type="dxa" w:w="3135"/>
          </w:tcPr>
          <w:p>
            <w:r/>
            <w:r>
              <w:rPr>
                <w:sz w:val="19"/>
              </w:rPr>
              <w:t>courses</w:t>
            </w:r>
          </w:p>
        </w:tc>
        <w:tc>
          <w:tcPr>
            <w:tcW w:type="dxa" w:w="3135"/>
          </w:tcPr>
          <w:p>
            <w:r/>
            <w:r>
              <w:rPr>
                <w:sz w:val="19"/>
              </w:rPr>
              <w:t>Ja</w:t>
            </w:r>
          </w:p>
        </w:tc>
        <w:tc>
          <w:tcPr>
            <w:tcW w:type="dxa" w:w="3135"/>
          </w:tcPr>
          <w:p>
            <w:r/>
            <w:r>
              <w:rPr>
                <w:sz w:val="19"/>
              </w:rPr>
              <w:t>wie oben</w:t>
            </w:r>
          </w:p>
        </w:tc>
      </w:tr>
      <w:tr>
        <w:tc>
          <w:tcPr>
            <w:tcW w:type="dxa" w:w="3135"/>
          </w:tcPr>
          <w:p>
            <w:r/>
            <w:r>
              <w:rPr>
                <w:sz w:val="19"/>
              </w:rPr>
              <w:t>price_history</w:t>
            </w:r>
          </w:p>
        </w:tc>
        <w:tc>
          <w:tcPr>
            <w:tcW w:type="dxa" w:w="3135"/>
          </w:tcPr>
          <w:p>
            <w:r/>
            <w:r>
              <w:rPr>
                <w:sz w:val="19"/>
              </w:rPr>
              <w:t>Nein</w:t>
            </w:r>
          </w:p>
        </w:tc>
        <w:tc>
          <w:tcPr>
            <w:tcW w:type="dxa" w:w="3135"/>
          </w:tcPr>
          <w:p>
            <w:r/>
            <w:r>
              <w:rPr>
                <w:sz w:val="19"/>
              </w:rPr>
              <w:t>Definierte Policy greift nicht – Tabelle ist mit dem Anon-Key voll lesbar UND schreibbar/löschbar</w:t>
            </w:r>
          </w:p>
        </w:tc>
      </w:tr>
      <w:tr>
        <w:tc>
          <w:tcPr>
            <w:tcW w:type="dxa" w:w="3135"/>
          </w:tcPr>
          <w:p>
            <w:r/>
            <w:r>
              <w:rPr>
                <w:sz w:val="19"/>
              </w:rPr>
              <w:t>scrape_errors</w:t>
            </w:r>
          </w:p>
        </w:tc>
        <w:tc>
          <w:tcPr>
            <w:tcW w:type="dxa" w:w="3135"/>
          </w:tcPr>
          <w:p>
            <w:r/>
            <w:r>
              <w:rPr>
                <w:sz w:val="19"/>
              </w:rPr>
              <w:t>Nein</w:t>
            </w:r>
          </w:p>
        </w:tc>
        <w:tc>
          <w:tcPr>
            <w:tcW w:type="dxa" w:w="3135"/>
          </w:tcPr>
          <w:p>
            <w:r/>
            <w:r>
              <w:rPr>
                <w:sz w:val="19"/>
              </w:rPr>
              <w:t>wie price_history</w:t>
            </w:r>
          </w:p>
        </w:tc>
      </w:tr>
      <w:tr>
        <w:tc>
          <w:tcPr>
            <w:tcW w:type="dxa" w:w="3135"/>
          </w:tcPr>
          <w:p>
            <w:r/>
            <w:r>
              <w:rPr>
                <w:sz w:val="19"/>
              </w:rPr>
              <w:t>scrape_runs</w:t>
            </w:r>
          </w:p>
        </w:tc>
        <w:tc>
          <w:tcPr>
            <w:tcW w:type="dxa" w:w="3135"/>
          </w:tcPr>
          <w:p>
            <w:r/>
            <w:r>
              <w:rPr>
                <w:sz w:val="19"/>
              </w:rPr>
              <w:t>Nein</w:t>
            </w:r>
          </w:p>
        </w:tc>
        <w:tc>
          <w:tcPr>
            <w:tcW w:type="dxa" w:w="3135"/>
          </w:tcPr>
          <w:p>
            <w:r/>
            <w:r>
              <w:rPr>
                <w:sz w:val="19"/>
              </w:rPr>
              <w:t>wie price_history</w:t>
            </w:r>
          </w:p>
        </w:tc>
      </w:tr>
      <w:tr>
        <w:tc>
          <w:tcPr>
            <w:tcW w:type="dxa" w:w="3135"/>
          </w:tcPr>
          <w:p>
            <w:r/>
            <w:r>
              <w:rPr>
                <w:sz w:val="19"/>
              </w:rPr>
              <w:t>scraper_registry</w:t>
            </w:r>
          </w:p>
        </w:tc>
        <w:tc>
          <w:tcPr>
            <w:tcW w:type="dxa" w:w="3135"/>
          </w:tcPr>
          <w:p>
            <w:r/>
            <w:r>
              <w:rPr>
                <w:sz w:val="19"/>
              </w:rPr>
              <w:t>Nein</w:t>
            </w:r>
          </w:p>
        </w:tc>
        <w:tc>
          <w:tcPr>
            <w:tcW w:type="dxa" w:w="3135"/>
          </w:tcPr>
          <w:p>
            <w:r/>
            <w:r>
              <w:rPr>
                <w:sz w:val="19"/>
              </w:rPr>
              <w:t>wie price_history – zusätzlich sicherheitsrelevant, da diese Tabelle die von Scrapern verwendeten Selektoren/Prompts steuert</w:t>
            </w:r>
          </w:p>
        </w:tc>
      </w:tr>
      <w:tr>
        <w:tc>
          <w:tcPr>
            <w:tcW w:type="dxa" w:w="3135"/>
          </w:tcPr>
          <w:p>
            <w:r/>
            <w:r>
              <w:rPr>
                <w:sz w:val="19"/>
              </w:rPr>
              <w:t>zap_info</w:t>
            </w:r>
          </w:p>
        </w:tc>
        <w:tc>
          <w:tcPr>
            <w:tcW w:type="dxa" w:w="3135"/>
          </w:tcPr>
          <w:p>
            <w:r/>
            <w:r>
              <w:rPr>
                <w:sz w:val="19"/>
              </w:rPr>
              <w:t>Nein</w:t>
            </w:r>
          </w:p>
        </w:tc>
        <w:tc>
          <w:tcPr>
            <w:tcW w:type="dxa" w:w="3135"/>
          </w:tcPr>
          <w:p>
            <w:r/>
            <w:r>
              <w:rPr>
                <w:sz w:val="19"/>
              </w:rPr>
              <w:t>wie price_history – zusätzlich sicherheitsrelevant, da diese Daten öffentlich auf /zap-info angezeigt werden</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Empfohlene Abhilfe, noch nicht angewendet:</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public.price_history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public.scrape_errors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public.scrape_runs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public.scraper_registry ENABLE ROW LEVEL SECURITY;</w:t>
      </w:r>
    </w:p>
    <w:p>
      <w:pPr>
        <w:pStyle w:val="Code"/>
        <w:shd w:val="clear" w:color="auto" w:fill="F2F2F2"/>
        <w:pBdr>
          <w:top w:val="single" w:sz="4" w:space="4" w:color="CCCCCC"/>
          <w:left w:val="single" w:sz="4" w:space="4" w:color="CCCCCC"/>
          <w:bottom w:val="single" w:sz="4" w:space="4" w:color="CCCCCC"/>
          <w:right w:val="single" w:sz="4" w:space="4" w:color="CCCCCC"/>
        </w:pBdr>
      </w:pPr>
      <w:r>
        <w:t>ALTER TABLE public.zap_info ENABLE ROW LEVEL SECURITY;</w:t>
      </w:r>
    </w:p>
    <w:p>
      <w:pPr>
        <w:pStyle w:val="Heading2"/>
      </w:pPr>
      <w:r>
        <w:t>5.5 Bekannter, behobener Bug: CourseDetails ohne Replica Identity</w:t>
      </w:r>
    </w:p>
    <w:p>
      <w:r>
        <w:t>CourseDetails besass ursprünglich keinen Primary Key, sondern nur einen UNIQUE-Constraint auf der Spalte ID. Das führte dazu, dass jeder .update()-Aufruf eines Scrapers auf dieser Tabelle mit dem Postgres-Fehler 55000 („cannot update table ... because it does not have a replica identity“) fehlschlug, sobald Supabase Realtime für die Tabelle aktiv war – betraf faktisch jeden Scraper-Lauf. Behoben durch ALTER TABLE "CourseDetails" REPLICA IDENTITY FULL; (siehe docs/fix_course_details_replica_identity.sql). Dieser Fix ist nicht in der BT dokumentiert, da er erst nach BT-Abgabe im laufenden Betrieb entdeckt wurde.</w:t>
      </w:r>
    </w:p>
    <w:p>
      <w:pPr>
        <w:pStyle w:val="Heading2"/>
      </w:pPr>
      <w:r>
        <w:t>5.6 Referenz-SQL-Skripte im Repository</w:t>
      </w:r>
    </w:p>
    <w:p>
      <w:pPr>
        <w:pStyle w:val="Caption2"/>
        <w:spacing w:after="40"/>
      </w:pPr>
      <w:r>
        <w:t>Tabelle 8: Referenz-SQL-Skripte</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Datei</w:t>
            </w:r>
          </w:p>
        </w:tc>
        <w:tc>
          <w:tcPr>
            <w:tcW w:type="dxa" w:w="4703"/>
            <w:shd w:val="clear" w:color="auto" w:fill="2F5496"/>
          </w:tcPr>
          <w:p>
            <w:r/>
            <w:r>
              <w:rPr>
                <w:b/>
                <w:color w:val="FFFFFF"/>
                <w:sz w:val="19"/>
              </w:rPr>
              <w:t>Zweck</w:t>
            </w:r>
          </w:p>
        </w:tc>
      </w:tr>
      <w:tr>
        <w:tc>
          <w:tcPr>
            <w:tcW w:type="dxa" w:w="4703"/>
          </w:tcPr>
          <w:p>
            <w:r/>
            <w:r>
              <w:rPr>
                <w:sz w:val="19"/>
              </w:rPr>
              <w:t>docs/report.sql</w:t>
            </w:r>
          </w:p>
        </w:tc>
        <w:tc>
          <w:tcPr>
            <w:tcW w:type="dxa" w:w="4703"/>
          </w:tcPr>
          <w:p>
            <w:r/>
            <w:r>
              <w:rPr>
                <w:sz w:val="19"/>
              </w:rPr>
              <w:t>12 Analyse-Queries (Coverage-Matrix, Erfolgsraten, Laufzeiten, Fehlerverteilung, ...), teils direkt in app/_lib/loadReportData.ts nachgebaut</w:t>
            </w:r>
          </w:p>
        </w:tc>
      </w:tr>
      <w:tr>
        <w:tc>
          <w:tcPr>
            <w:tcW w:type="dxa" w:w="4703"/>
          </w:tcPr>
          <w:p>
            <w:r/>
            <w:r>
              <w:rPr>
                <w:sz w:val="19"/>
              </w:rPr>
              <w:t>docs/seed_gymi_providers.sql</w:t>
            </w:r>
          </w:p>
        </w:tc>
        <w:tc>
          <w:tcPr>
            <w:tcW w:type="dxa" w:w="4703"/>
          </w:tcPr>
          <w:p>
            <w:r/>
            <w:r>
              <w:rPr>
                <w:sz w:val="19"/>
              </w:rPr>
              <w:t>Seed für GymiProviders-Basiszeilen (IDs 1,2,3,4,6), nötig weil scrape_runs.provider_id eine Fremdschlüssel-Pflicht hat</w:t>
            </w:r>
          </w:p>
        </w:tc>
      </w:tr>
      <w:tr>
        <w:tc>
          <w:tcPr>
            <w:tcW w:type="dxa" w:w="4703"/>
          </w:tcPr>
          <w:p>
            <w:r/>
            <w:r>
              <w:rPr>
                <w:sz w:val="19"/>
              </w:rPr>
              <w:t>docs/fix_course_details_replica_identity.sql</w:t>
            </w:r>
          </w:p>
        </w:tc>
        <w:tc>
          <w:tcPr>
            <w:tcW w:type="dxa" w:w="4703"/>
          </w:tcPr>
          <w:p>
            <w:r/>
            <w:r>
              <w:rPr>
                <w:sz w:val="19"/>
              </w:rPr>
              <w:t>Dokumentiert den in 5.5 beschriebenen Fix</w:t>
            </w:r>
          </w:p>
        </w:tc>
      </w:tr>
    </w:tbl>
    <w:p>
      <w:pPr>
        <w:spacing w:after="200"/>
      </w:pPr>
    </w:p>
    <w:p>
      <w:pPr>
        <w:jc w:val="center"/>
      </w:pPr>
      <w:r>
        <w:drawing>
          <wp:inline xmlns:a="http://schemas.openxmlformats.org/drawingml/2006/main" xmlns:pic="http://schemas.openxmlformats.org/drawingml/2006/picture">
            <wp:extent cx="5580000" cy="1475516"/>
            <wp:docPr id="3" name="Picture 3"/>
            <wp:cNvGraphicFramePr>
              <a:graphicFrameLocks noChangeAspect="1"/>
            </wp:cNvGraphicFramePr>
            <a:graphic>
              <a:graphicData uri="http://schemas.openxmlformats.org/drawingml/2006/picture">
                <pic:pic>
                  <pic:nvPicPr>
                    <pic:cNvPr id="0" name="fig45-sql-query-avidii.png"/>
                    <pic:cNvPicPr/>
                  </pic:nvPicPr>
                  <pic:blipFill>
                    <a:blip r:embed="rId12"/>
                    <a:stretch>
                      <a:fillRect/>
                    </a:stretch>
                  </pic:blipFill>
                  <pic:spPr>
                    <a:xfrm>
                      <a:off x="0" y="0"/>
                      <a:ext cx="5580000" cy="1475516"/>
                    </a:xfrm>
                    <a:prstGeom prst="rect"/>
                  </pic:spPr>
                </pic:pic>
              </a:graphicData>
            </a:graphic>
          </wp:inline>
        </w:drawing>
      </w:r>
    </w:p>
    <w:p>
      <w:pPr>
        <w:pStyle w:val="Caption2"/>
        <w:jc w:val="center"/>
      </w:pPr>
      <w:r>
        <w:t>Abbildung 3: Beispiel einer Aggregations-Query aus report.sql: Kursanzahl für Avidii je Scraping-Methode (Quelle: BT Fig. 45).</w:t>
      </w:r>
    </w:p>
    <w:p>
      <w:pPr>
        <w:pStyle w:val="Heading1"/>
      </w:pPr>
      <w:r>
        <w:t>6. Scraping-Technologien</w:t>
      </w:r>
    </w:p>
    <w:p>
      <w:r>
        <w:t>Das Projekt implementiert dieselbe fachliche Aufgabe – Kursdaten von Gymivorbereitungs-Websites extrahieren – dreimal mit unterschiedlichen technischen Ansätzen. Alle drei schreiben in dieselbe courses-Tabelle und unterscheiden sich nur durch das Feld scraper_method ('puppeteer', 'brightdata', 'scrapegraphai'). Das erlaubt einen direkten, datenbankseitigen Vergleich, ohne dass die Webanwendung wissen muss, wie die Daten entstanden sind.</w:t>
      </w:r>
    </w:p>
    <w:p>
      <w:pPr>
        <w:pStyle w:val="Caption2"/>
        <w:spacing w:after="40"/>
      </w:pPr>
      <w:r>
        <w:t>Tabelle 9: Vergleich der drei Scraping-Methoden</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Methode</w:t>
            </w:r>
          </w:p>
        </w:tc>
        <w:tc>
          <w:tcPr>
            <w:tcW w:type="dxa" w:w="2351"/>
            <w:shd w:val="clear" w:color="auto" w:fill="2F5496"/>
          </w:tcPr>
          <w:p>
            <w:r/>
            <w:r>
              <w:rPr>
                <w:b/>
                <w:color w:val="FFFFFF"/>
                <w:sz w:val="19"/>
              </w:rPr>
              <w:t>Ansatz</w:t>
            </w:r>
          </w:p>
        </w:tc>
        <w:tc>
          <w:tcPr>
            <w:tcW w:type="dxa" w:w="2351"/>
            <w:shd w:val="clear" w:color="auto" w:fill="2F5496"/>
          </w:tcPr>
          <w:p>
            <w:r/>
            <w:r>
              <w:rPr>
                <w:b/>
                <w:color w:val="FFFFFF"/>
                <w:sz w:val="19"/>
              </w:rPr>
              <w:t>Steuerung liegt bei</w:t>
            </w:r>
          </w:p>
        </w:tc>
        <w:tc>
          <w:tcPr>
            <w:tcW w:type="dxa" w:w="2351"/>
            <w:shd w:val="clear" w:color="auto" w:fill="2F5496"/>
          </w:tcPr>
          <w:p>
            <w:r/>
            <w:r>
              <w:rPr>
                <w:b/>
                <w:color w:val="FFFFFF"/>
                <w:sz w:val="19"/>
              </w:rPr>
              <w:t>Anbieterabdeckung</w:t>
            </w:r>
          </w:p>
        </w:tc>
      </w:tr>
      <w:tr>
        <w:tc>
          <w:tcPr>
            <w:tcW w:type="dxa" w:w="2351"/>
          </w:tcPr>
          <w:p>
            <w:r/>
            <w:r>
              <w:rPr>
                <w:sz w:val="19"/>
              </w:rPr>
              <w:t>Puppeteer</w:t>
            </w:r>
          </w:p>
        </w:tc>
        <w:tc>
          <w:tcPr>
            <w:tcW w:type="dxa" w:w="2351"/>
          </w:tcPr>
          <w:p>
            <w:r/>
            <w:r>
              <w:rPr>
                <w:sz w:val="19"/>
              </w:rPr>
              <w:t>DOM-Selektoren, headless Chrome</w:t>
            </w:r>
          </w:p>
        </w:tc>
        <w:tc>
          <w:tcPr>
            <w:tcW w:type="dxa" w:w="2351"/>
          </w:tcPr>
          <w:p>
            <w:r/>
            <w:r>
              <w:rPr>
                <w:sz w:val="19"/>
              </w:rPr>
              <w:t>eigener Code (CSS-Selektoren)</w:t>
            </w:r>
          </w:p>
        </w:tc>
        <w:tc>
          <w:tcPr>
            <w:tcW w:type="dxa" w:w="2351"/>
          </w:tcPr>
          <w:p>
            <w:r/>
            <w:r>
              <w:rPr>
                <w:sz w:val="19"/>
              </w:rPr>
              <w:t>5 von 12 Anbietern</w:t>
            </w:r>
          </w:p>
        </w:tc>
      </w:tr>
      <w:tr>
        <w:tc>
          <w:tcPr>
            <w:tcW w:type="dxa" w:w="2351"/>
          </w:tcPr>
          <w:p>
            <w:r/>
            <w:r>
              <w:rPr>
                <w:sz w:val="19"/>
              </w:rPr>
              <w:t>Bright Data</w:t>
            </w:r>
          </w:p>
        </w:tc>
        <w:tc>
          <w:tcPr>
            <w:tcW w:type="dxa" w:w="2351"/>
          </w:tcPr>
          <w:p>
            <w:r/>
            <w:r>
              <w:rPr>
                <w:sz w:val="19"/>
              </w:rPr>
              <w:t>verwalteter Cloud-Scraping-Dienst</w:t>
            </w:r>
          </w:p>
        </w:tc>
        <w:tc>
          <w:tcPr>
            <w:tcW w:type="dxa" w:w="2351"/>
          </w:tcPr>
          <w:p>
            <w:r/>
            <w:r>
              <w:rPr>
                <w:sz w:val="19"/>
              </w:rPr>
              <w:t>extern (Bright-Data-Dashboard)</w:t>
            </w:r>
          </w:p>
        </w:tc>
        <w:tc>
          <w:tcPr>
            <w:tcW w:type="dxa" w:w="2351"/>
          </w:tcPr>
          <w:p>
            <w:r/>
            <w:r>
              <w:rPr>
                <w:sz w:val="19"/>
              </w:rPr>
              <w:t>5 von 12 Anbietern</w:t>
            </w:r>
          </w:p>
        </w:tc>
      </w:tr>
      <w:tr>
        <w:tc>
          <w:tcPr>
            <w:tcW w:type="dxa" w:w="2351"/>
          </w:tcPr>
          <w:p>
            <w:r/>
            <w:r>
              <w:rPr>
                <w:sz w:val="19"/>
              </w:rPr>
              <w:t>ScrapeGraphAI</w:t>
            </w:r>
          </w:p>
        </w:tc>
        <w:tc>
          <w:tcPr>
            <w:tcW w:type="dxa" w:w="2351"/>
          </w:tcPr>
          <w:p>
            <w:r/>
            <w:r>
              <w:rPr>
                <w:sz w:val="19"/>
              </w:rPr>
              <w:t>LLM-gesteuerte Extraktion</w:t>
            </w:r>
          </w:p>
        </w:tc>
        <w:tc>
          <w:tcPr>
            <w:tcW w:type="dxa" w:w="2351"/>
          </w:tcPr>
          <w:p>
            <w:r/>
            <w:r>
              <w:rPr>
                <w:sz w:val="19"/>
              </w:rPr>
              <w:t>Prompt (kein Selektor nötig)</w:t>
            </w:r>
          </w:p>
        </w:tc>
        <w:tc>
          <w:tcPr>
            <w:tcW w:type="dxa" w:w="2351"/>
          </w:tcPr>
          <w:p>
            <w:r/>
            <w:r>
              <w:rPr>
                <w:sz w:val="19"/>
              </w:rPr>
              <w:t>12 von 12 Anbietern</w:t>
            </w:r>
          </w:p>
        </w:tc>
      </w:tr>
    </w:tbl>
    <w:p>
      <w:pPr>
        <w:spacing w:after="200"/>
      </w:pPr>
    </w:p>
    <w:p>
      <w: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r>
        <w:t>Drei Tabellen sind für jede der drei Technologien zentral (vollständiges Schema aller acht Tabellen siehe Kapitel 5.1):</w:t>
      </w:r>
    </w:p>
    <w:p>
      <w:pPr>
        <w:pStyle w:val="Caption2"/>
        <w:spacing w:after="40"/>
      </w:pPr>
      <w:r>
        <w:t>Tabelle 10: Zentrale Tabellen im Scraper-Lebenszyklus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Rolle im Scraper-Lebenszyklus</w:t>
            </w:r>
          </w:p>
        </w:tc>
        <w:tc>
          <w:tcPr>
            <w:tcW w:type="dxa" w:w="3135"/>
            <w:shd w:val="clear" w:color="auto" w:fill="2F5496"/>
          </w:tcPr>
          <w:p>
            <w:r/>
            <w:r>
              <w:rPr>
                <w:b/>
                <w:color w:val="FFFFFF"/>
                <w:sz w:val="19"/>
              </w:rPr>
              <w:t>Wichtige Felder</w:t>
            </w:r>
          </w:p>
        </w:tc>
      </w:tr>
      <w:tr>
        <w:tc>
          <w:tcPr>
            <w:tcW w:type="dxa" w:w="3135"/>
          </w:tcPr>
          <w:p>
            <w:r/>
            <w:r>
              <w:rPr>
                <w:sz w:val="19"/>
              </w:rPr>
              <w:t>courses</w:t>
            </w:r>
          </w:p>
        </w:tc>
        <w:tc>
          <w:tcPr>
            <w:tcW w:type="dxa" w:w="3135"/>
          </w:tcPr>
          <w:p>
            <w:r/>
            <w:r>
              <w:rPr>
                <w:sz w:val="19"/>
              </w:rPr>
              <w:t>Zieltabelle für die gescrapten Kursdaten. Jeder Scraper löscht vor dem Insert nur seine eigenen Zeilen (provider_id + scraper_method).</w:t>
            </w:r>
          </w:p>
        </w:tc>
        <w:tc>
          <w:tcPr>
            <w:tcW w:type="dxa" w:w="3135"/>
          </w:tcPr>
          <w:p>
            <w:r/>
            <w:r>
              <w:rPr>
                <w:sz w:val="19"/>
              </w:rPr>
              <w:t>provider_id, scraper_method, course_type, price_chf, start_date/end_date, verfuegbarkeit, last_scraped_at</w:t>
            </w:r>
          </w:p>
        </w:tc>
      </w:tr>
      <w:tr>
        <w:tc>
          <w:tcPr>
            <w:tcW w:type="dxa" w:w="3135"/>
          </w:tcPr>
          <w:p>
            <w:r/>
            <w:r>
              <w:rPr>
                <w:sz w:val="19"/>
              </w:rPr>
              <w:t>scrape_runs</w:t>
            </w:r>
          </w:p>
        </w:tc>
        <w:tc>
          <w:tcPr>
            <w:tcW w:type="dxa" w:w="3135"/>
          </w:tcPr>
          <w:p>
            <w:r/>
            <w:r>
              <w:rPr>
                <w:sz w:val="19"/>
              </w:rPr>
              <w:t>Ein Eintrag pro Lauf, Lebenszyklus running → success/partial/failed.</w:t>
            </w:r>
          </w:p>
        </w:tc>
        <w:tc>
          <w:tcPr>
            <w:tcW w:type="dxa" w:w="3135"/>
          </w:tcPr>
          <w:p>
            <w:r/>
            <w:r>
              <w:rPr>
                <w:sz w:val="19"/>
              </w:rPr>
              <w:t>scraper_method, provider_id, status, courses_found, error_count, started_at, finished_at</w:t>
            </w:r>
          </w:p>
        </w:tc>
      </w:tr>
      <w:tr>
        <w:tc>
          <w:tcPr>
            <w:tcW w:type="dxa" w:w="3135"/>
          </w:tcPr>
          <w:p>
            <w:r/>
            <w:r>
              <w:rPr>
                <w:sz w:val="19"/>
              </w:rPr>
              <w:t>scrape_errors</w:t>
            </w:r>
          </w:p>
        </w:tc>
        <w:tc>
          <w:tcPr>
            <w:tcW w:type="dxa" w:w="3135"/>
          </w:tcPr>
          <w:p>
            <w:r/>
            <w:r>
              <w:rPr>
                <w:sz w:val="19"/>
              </w:rPr>
              <w:t>Ein Eintrag pro Einzelfehler innerhalb eines Laufs; Input für das Self-Healing (Kapitel 7).</w:t>
            </w:r>
          </w:p>
        </w:tc>
        <w:tc>
          <w:tcPr>
            <w:tcW w:type="dxa" w:w="3135"/>
          </w:tcPr>
          <w:p>
            <w:r/>
            <w:r>
              <w:rPr>
                <w:sz w:val="19"/>
              </w:rPr>
              <w:t>run_id (FK auf scrape_runs), provider_id, error_type, message, html_snapshot, fixed_by_ai</w:t>
            </w:r>
          </w:p>
        </w:tc>
      </w:tr>
    </w:tbl>
    <w:p>
      <w:pPr>
        <w:spacing w:after="200"/>
      </w:pPr>
    </w:p>
    <w:p>
      <w:pPr>
        <w:pStyle w:val="Heading2"/>
      </w:pPr>
      <w:r>
        <w:t>6.0 Kurzübersicht: Jede Methode manuell auslösen</w:t>
      </w:r>
    </w:p>
    <w:p>
      <w:r>
        <w:t>Diese Tabelle dient als schnelle Referenz; die vollständigen Details inkl. Voraussetzungen stehen im jeweiligen Unterkapitel.</w:t>
      </w:r>
    </w:p>
    <w:p>
      <w:pPr>
        <w:pStyle w:val="Caption2"/>
        <w:spacing w:after="40"/>
      </w:pPr>
      <w:r>
        <w:t>Tabelle 11: Manuelle Ausführung je Scraping-Methode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Methode</w:t>
            </w:r>
          </w:p>
        </w:tc>
        <w:tc>
          <w:tcPr>
            <w:tcW w:type="dxa" w:w="3135"/>
            <w:shd w:val="clear" w:color="auto" w:fill="2F5496"/>
          </w:tcPr>
          <w:p>
            <w:r/>
            <w:r>
              <w:rPr>
                <w:b/>
                <w:color w:val="FFFFFF"/>
                <w:sz w:val="19"/>
              </w:rPr>
              <w:t>Alle Anbieter auf einmal</w:t>
            </w:r>
          </w:p>
        </w:tc>
        <w:tc>
          <w:tcPr>
            <w:tcW w:type="dxa" w:w="3135"/>
            <w:shd w:val="clear" w:color="auto" w:fill="2F5496"/>
          </w:tcPr>
          <w:p>
            <w:r/>
            <w:r>
              <w:rPr>
                <w:b/>
                <w:color w:val="FFFFFF"/>
                <w:sz w:val="19"/>
              </w:rPr>
              <w:t>Einzelnen Anbieter</w:t>
            </w:r>
          </w:p>
        </w:tc>
      </w:tr>
      <w:tr>
        <w:tc>
          <w:tcPr>
            <w:tcW w:type="dxa" w:w="3135"/>
          </w:tcPr>
          <w:p>
            <w:r/>
            <w:r>
              <w:rPr>
                <w:sz w:val="19"/>
              </w:rPr>
              <w:t>Puppeteer</w:t>
            </w:r>
          </w:p>
        </w:tc>
        <w:tc>
          <w:tcPr>
            <w:tcW w:type="dxa" w:w="3135"/>
          </w:tcPr>
          <w:p>
            <w:r/>
            <w:r>
              <w:rPr>
                <w:sz w:val="19"/>
              </w:rPr>
              <w:t>npm run scrape:all</w:t>
            </w:r>
          </w:p>
        </w:tc>
        <w:tc>
          <w:tcPr>
            <w:tcW w:type="dxa" w:w="3135"/>
          </w:tcPr>
          <w:p>
            <w:r/>
            <w:r>
              <w:rPr>
                <w:sz w:val="19"/>
              </w:rPr>
              <w:t>npx ts-node --project tsconfig.scraper.json -r tsconfig-paths/register scraping/puppeteer/&lt;name&gt;Scraper.ts</w:t>
            </w:r>
          </w:p>
        </w:tc>
      </w:tr>
      <w:tr>
        <w:tc>
          <w:tcPr>
            <w:tcW w:type="dxa" w:w="3135"/>
          </w:tcPr>
          <w:p>
            <w:r/>
            <w:r>
              <w:rPr>
                <w:sz w:val="19"/>
              </w:rPr>
              <w:t>Bright Data</w:t>
            </w:r>
          </w:p>
        </w:tc>
        <w:tc>
          <w:tcPr>
            <w:tcW w:type="dxa" w:w="3135"/>
          </w:tcPr>
          <w:p>
            <w:r/>
            <w:r>
              <w:rPr>
                <w:sz w:val="19"/>
              </w:rPr>
              <w:t>python scraping/brightdata/run_all_brightdata.py (in aktivierter venv)</w:t>
            </w:r>
          </w:p>
        </w:tc>
        <w:tc>
          <w:tcPr>
            <w:tcW w:type="dxa" w:w="3135"/>
          </w:tcPr>
          <w:p>
            <w:r/>
            <w:r>
              <w:rPr>
                <w:sz w:val="19"/>
              </w:rPr>
              <w:t>python scraping/brightdata/brightdata_&lt;name&gt;Scraper.py</w:t>
            </w:r>
          </w:p>
        </w:tc>
      </w:tr>
      <w:tr>
        <w:tc>
          <w:tcPr>
            <w:tcW w:type="dxa" w:w="3135"/>
          </w:tcPr>
          <w:p>
            <w:r/>
            <w:r>
              <w:rPr>
                <w:sz w:val="19"/>
              </w:rPr>
              <w:t>ScrapeGraphAI</w:t>
            </w:r>
          </w:p>
        </w:tc>
        <w:tc>
          <w:tcPr>
            <w:tcW w:type="dxa" w:w="3135"/>
          </w:tcPr>
          <w:p>
            <w:r/>
            <w:r>
              <w:rPr>
                <w:sz w:val="19"/>
              </w:rPr>
              <w:t>python scraping/scrapegraphai/run_all_scrapers.py (in aktivierter venv)</w:t>
            </w:r>
          </w:p>
        </w:tc>
        <w:tc>
          <w:tcPr>
            <w:tcW w:type="dxa" w:w="3135"/>
          </w:tcPr>
          <w:p>
            <w:r/>
            <w:r>
              <w:rPr>
                <w:sz w:val="19"/>
              </w:rPr>
              <w:t>python scraping/scrapegraphai/sGAI_&lt;name&gt;Scraper.py</w:t>
            </w:r>
          </w:p>
        </w:tc>
      </w:tr>
      <w:tr>
        <w:tc>
          <w:tcPr>
            <w:tcW w:type="dxa" w:w="3135"/>
          </w:tcPr>
          <w:p>
            <w:r/>
            <w:r>
              <w:rPr>
                <w:sz w:val="19"/>
              </w:rPr>
              <w:t>ZAP-Info (separat, Kap. 8)</w:t>
            </w:r>
          </w:p>
        </w:tc>
        <w:tc>
          <w:tcPr>
            <w:tcW w:type="dxa" w:w="3135"/>
          </w:tcPr>
          <w:p>
            <w:r/>
            <w:r>
              <w:rPr>
                <w:sz w:val="19"/>
              </w:rPr>
              <w:t>python scraping/zap-info/zap_info_scraper.py</w:t>
            </w:r>
          </w:p>
        </w:tc>
        <w:tc>
          <w:tcPr>
            <w:tcW w:type="dxa" w:w="3135"/>
          </w:tcPr>
          <w:p>
            <w:r/>
            <w:r>
              <w:rPr>
                <w:sz w:val="19"/>
              </w:rPr>
              <w:t>–</w:t>
            </w:r>
          </w:p>
        </w:tc>
      </w:tr>
    </w:tbl>
    <w:p>
      <w:pPr>
        <w:spacing w:after="200"/>
      </w:pPr>
    </w:p>
    <w:p>
      <w:pPr>
        <w:pStyle w:val="Heading2"/>
      </w:pPr>
      <w:r>
        <w:t>6.1 Puppeteer</w:t>
      </w:r>
    </w:p>
    <w:p>
      <w: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(page.evaluate() mit querySelector/querySelectorAll). Das ist schnell und ressourcenschonend, aber empfindlich gegenüber Änderungen am HTML-Markup der Zielseite – ein neues CSS-Framework oder ein Redesign kann einen Scraper ohne Codeänderung sofort funktionsunfähig machen.</w:t>
      </w:r>
    </w:p>
    <w:p>
      <w:pPr>
        <w:pStyle w:val="Heading3"/>
      </w:pPr>
      <w:r>
        <w:t>Struktur eines Scrapers</w:t>
      </w:r>
    </w:p>
    <w:p>
      <w:r>
        <w:t>Jede Datei ist ein eigenständiges Skript mit fest codierter provider_id und Ziel-URLs. Der Ablauf: Browser starten, User-Agent setzen (ein realistischer Desktop-UA, um simple Bot-Filter zu umgehen), Anbieter-Metadaten-Seite laden und per page.evaluate()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pPr>
        <w:pStyle w:val="Code"/>
        <w:shd w:val="clear" w:color="auto" w:fill="F2F2F2"/>
        <w:pBdr>
          <w:top w:val="single" w:sz="4" w:space="4" w:color="CCCCCC"/>
          <w:left w:val="single" w:sz="4" w:space="4" w:color="CCCCCC"/>
          <w:bottom w:val="single" w:sz="4" w:space="4" w:color="CCCCCC"/>
          <w:right w:val="single" w:sz="4" w:space="4" w:color="CCCCCC"/>
        </w:pBdr>
      </w:pPr>
      <w:r>
        <w:t>// scraping/puppeteer/scrapeUtils.ts – zentrale Helfer, von allen 5 Scrapern importiert</w:t>
      </w:r>
    </w:p>
    <w:p>
      <w:pPr>
        <w:pStyle w:val="Code"/>
        <w:shd w:val="clear" w:color="auto" w:fill="F2F2F2"/>
        <w:pBdr>
          <w:top w:val="single" w:sz="4" w:space="4" w:color="CCCCCC"/>
          <w:left w:val="single" w:sz="4" w:space="4" w:color="CCCCCC"/>
          <w:bottom w:val="single" w:sz="4" w:space="4" w:color="CCCCCC"/>
          <w:right w:val="single" w:sz="4" w:space="4" w:color="CCCCCC"/>
        </w:pBdr>
      </w:pPr>
      <w:r>
        <w:t>startScrapeRun(method, providerId)   // legt scrape_runs-Zeile an (status='running')</w:t>
      </w:r>
    </w:p>
    <w:p>
      <w:pPr>
        <w:pStyle w:val="Code"/>
        <w:shd w:val="clear" w:color="auto" w:fill="F2F2F2"/>
        <w:pBdr>
          <w:top w:val="single" w:sz="4" w:space="4" w:color="CCCCCC"/>
          <w:left w:val="single" w:sz="4" w:space="4" w:color="CCCCCC"/>
          <w:bottom w:val="single" w:sz="4" w:space="4" w:color="CCCCCC"/>
          <w:right w:val="single" w:sz="4" w:space="4" w:color="CCCCCC"/>
        </w:pBdr>
      </w:pPr>
      <w:r>
        <w:t>finishScrapeRun(runId, status, coursesFound, errorCount)</w:t>
      </w:r>
    </w:p>
    <w:p>
      <w:pPr>
        <w:pStyle w:val="Code"/>
        <w:shd w:val="clear" w:color="auto" w:fill="F2F2F2"/>
        <w:pBdr>
          <w:top w:val="single" w:sz="4" w:space="4" w:color="CCCCCC"/>
          <w:left w:val="single" w:sz="4" w:space="4" w:color="CCCCCC"/>
          <w:bottom w:val="single" w:sz="4" w:space="4" w:color="CCCCCC"/>
          <w:right w:val="single" w:sz="4" w:space="4" w:color="CCCCCC"/>
        </w:pBdr>
      </w:pPr>
      <w:r>
        <w:t>logScrapeError(runId, providerId, errorType, message)  // schreibt scrape_errors,</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kappt HTML-Snapshot bei 4000 Zeichen</w:t>
      </w:r>
    </w:p>
    <w:p>
      <w:pPr>
        <w:pStyle w:val="Code"/>
        <w:shd w:val="clear" w:color="auto" w:fill="F2F2F2"/>
        <w:pBdr>
          <w:top w:val="single" w:sz="4" w:space="4" w:color="CCCCCC"/>
          <w:left w:val="single" w:sz="4" w:space="4" w:color="CCCCCC"/>
          <w:bottom w:val="single" w:sz="4" w:space="4" w:color="CCCCCC"/>
          <w:right w:val="single" w:sz="4" w:space="4" w:color="CCCCCC"/>
        </w:pBdr>
      </w:pPr>
      <w:r>
        <w:t>recordPriceHistory(providerId, courseType, avgPrice)   // schreibt price_history</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 alle 5 parallel (package.json, Script scrape:all):</w:t>
      </w:r>
    </w:p>
    <w:p>
      <w:pPr>
        <w:pStyle w:val="Code"/>
        <w:shd w:val="clear" w:color="auto" w:fill="F2F2F2"/>
        <w:pBdr>
          <w:top w:val="single" w:sz="4" w:space="4" w:color="CCCCCC"/>
          <w:left w:val="single" w:sz="4" w:space="4" w:color="CCCCCC"/>
          <w:bottom w:val="single" w:sz="4" w:space="4" w:color="CCCCCC"/>
          <w:right w:val="single" w:sz="4" w:space="4" w:color="CCCCCC"/>
        </w:pBdr>
      </w:pPr>
      <w:r>
        <w:t>npm run scrape:all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einzeln, z. B. nur Avidii:</w:t>
      </w:r>
    </w:p>
    <w:p>
      <w:pPr>
        <w:pStyle w:val="Code"/>
        <w:shd w:val="clear" w:color="auto" w:fill="F2F2F2"/>
        <w:pBdr>
          <w:top w:val="single" w:sz="4" w:space="4" w:color="CCCCCC"/>
          <w:left w:val="single" w:sz="4" w:space="4" w:color="CCCCCC"/>
          <w:bottom w:val="single" w:sz="4" w:space="4" w:color="CCCCCC"/>
          <w:right w:val="single" w:sz="4" w:space="4" w:color="CCCCCC"/>
        </w:pBdr>
      </w:pPr>
      <w:r>
        <w:t>npx ts-node --project tsconfig.scraper.json -r tsconfig-paths/register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scraping/puppeteer/avidiiScraper.ts</w:t>
      </w:r>
    </w:p>
    <w:p>
      <w:pPr>
        <w:spacing w:before="120" w:after="200"/>
        <w:ind w:left="227"/>
        <w:pBdr>
          <w:left w:val="single" w:sz="18" w:space="8" w:color="2F5496"/>
        </w:pBdr>
        <w:shd w:val="clear" w:color="auto" w:fill="EEF2FA"/>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pPr>
        <w:pStyle w:val="Heading3"/>
      </w:pPr>
      <w:r>
        <w:t>Website-Eigenheit: Tab-IDs, die mit einer Ziffer beginnen (Learning Culture)</w:t>
      </w:r>
    </w:p>
    <w:p>
      <w:r>
        <w:t>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document.getElementById(tabId) statt eines CSS-Selektors verwendet, da getElementById() einen beliebigen String entgegennimmt:</w:t>
      </w:r>
    </w:p>
    <w:p>
      <w:pPr>
        <w:pStyle w:val="Code"/>
        <w:shd w:val="clear" w:color="auto" w:fill="F2F2F2"/>
        <w:pBdr>
          <w:top w:val="single" w:sz="4" w:space="4" w:color="CCCCCC"/>
          <w:left w:val="single" w:sz="4" w:space="4" w:color="CCCCCC"/>
          <w:bottom w:val="single" w:sz="4" w:space="4" w:color="CCCCCC"/>
          <w:right w:val="single" w:sz="4" w:space="4" w:color="CCCCCC"/>
        </w:pBdr>
      </w:pPr>
      <w:r>
        <w:t>// scraping/puppeteer/learningCultureScraper.ts</w:t>
      </w:r>
    </w:p>
    <w:p>
      <w:pPr>
        <w:pStyle w:val="Code"/>
        <w:shd w:val="clear" w:color="auto" w:fill="F2F2F2"/>
        <w:pBdr>
          <w:top w:val="single" w:sz="4" w:space="4" w:color="CCCCCC"/>
          <w:left w:val="single" w:sz="4" w:space="4" w:color="CCCCCC"/>
          <w:bottom w:val="single" w:sz="4" w:space="4" w:color="CCCCCC"/>
          <w:right w:val="single" w:sz="4" w:space="4" w:color="CCCCCC"/>
        </w:pBdr>
      </w:pPr>
      <w:r>
        <w:t>const allTabIds = await page.$$eval('.tab-list-item a.tab-heading', (links) =&gt;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links.map((link) =&gt; (link.getAttribute('href') || '').replace('#', '')).filter(Boolean)</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const tabIds = allTabIds.filter(id =&gt; id.startsWith('2026') || id.startsWith('20'));</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 pro Tab:</w:t>
      </w:r>
    </w:p>
    <w:p>
      <w:pPr>
        <w:pStyle w:val="Code"/>
        <w:shd w:val="clear" w:color="auto" w:fill="F2F2F2"/>
        <w:pBdr>
          <w:top w:val="single" w:sz="4" w:space="4" w:color="CCCCCC"/>
          <w:left w:val="single" w:sz="4" w:space="4" w:color="CCCCCC"/>
          <w:bottom w:val="single" w:sz="4" w:space="4" w:color="CCCCCC"/>
          <w:right w:val="single" w:sz="4" w:space="4" w:color="CCCCCC"/>
        </w:pBdr>
      </w:pPr>
      <w:r>
        <w:t>await page.click(`.tab-list-item a[href="#${tabId}"]`);   // Klick funktioniert per Attribut-Selektor</w:t>
      </w:r>
    </w:p>
    <w:p>
      <w:pPr>
        <w:pStyle w:val="Code"/>
        <w:shd w:val="clear" w:color="auto" w:fill="F2F2F2"/>
        <w:pBdr>
          <w:top w:val="single" w:sz="4" w:space="4" w:color="CCCCCC"/>
          <w:left w:val="single" w:sz="4" w:space="4" w:color="CCCCCC"/>
          <w:bottom w:val="single" w:sz="4" w:space="4" w:color="CCCCCC"/>
          <w:right w:val="single" w:sz="4" w:space="4" w:color="CCCCCC"/>
        </w:pBdr>
      </w:pPr>
      <w:r>
        <w:t>const container = document.getElementById(tabId);            // Auslesen NICHT per CSS-ID-Selektor</w:t>
      </w:r>
    </w:p>
    <w:p>
      <w:pPr>
        <w:pStyle w:val="Heading3"/>
      </w:pPr>
      <w:r>
        <w:t>Fallbeispiel: Nachhilfe Akademie – Website-Redesign macht Neuentwicklung nötig</w:t>
      </w:r>
    </w:p>
    <w:p>
      <w: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r>
        <w:t>Der Scraper wurde deshalb neu geschrieben: Er liest jetzt gezielt nur die „Gruppenunterricht“-Preisstufen (2er-/4er-Gruppe) aus, da diese am ehesten mit den Gruppenkursen anderer Anbieter vergleichbar sind. Technisch werden Elementor-Preiskarten über die Kombination aus Titel-Text (.elementor-icon-box-title, gefiltert per Regex auf „2er Gruppe“/„4er Gruppe“) und dem nächstgelegenen Card-Container (.closest('.e-child')) identifiziert; der Preis wird aus dem ersten Textabschnitt extrahiert, der „CHF“ enthält.</w:t>
      </w:r>
    </w:p>
    <w:p>
      <w:pPr>
        <w:spacing w:before="120" w:after="200"/>
        <w:ind w:left="227"/>
        <w:pBdr>
          <w:left w:val="single" w:sz="18" w:space="8" w:color="2F5496"/>
        </w:pBdr>
        <w:shd w:val="clear" w:color="auto" w:fill="EEF2FA"/>
      </w:pPr>
      <w:r>
        <w:rPr>
          <w:b/>
          <w:color w:val="2F5496"/>
        </w:rPr>
        <w:t xml:space="preserve">Hinweis: </w:t>
      </w:r>
      <w:r>
        <w:t>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extrem günstig erscheinen lassen. Einzelunterricht und Ferienkurse werden bewusst nicht gescraped, da sie ganz ohne feste Termine sind und noch schlechter ins courses-Schema passen.</w:t>
      </w:r>
    </w:p>
    <w:p>
      <w:pPr>
        <w:pStyle w:val="Heading2"/>
      </w:pPr>
      <w:r>
        <w:t>6.2 Bright Data</w:t>
      </w:r>
    </w:p>
    <w:p>
      <w: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pPr>
        <w:pStyle w:val="Heading3"/>
      </w:pPr>
      <w:r>
        <w:t>Trigger-Poll-Collect-Ablauf</w:t>
      </w:r>
    </w:p>
    <w:p>
      <w:pPr>
        <w:pStyle w:val="ListNumber"/>
      </w:pPr>
      <w:r>
        <w:t>trigger_scraper(): POST an https://api.brightdata.com/dca/trigger?collector={COLLECTOR_ID}&amp;queue_next=1 mit den Ziel-URLs im Body, Auth per Authorization: Bearer {BRIGHT_DATA_API_TOKEN}. Antwort enthält eine collection_id.</w:t>
      </w:r>
    </w:p>
    <w:p>
      <w:pPr>
        <w:pStyle w:val="ListNumber"/>
      </w:pPr>
      <w:r>
        <w:t>wait_for_results(): pollt alle 10 Sekunden GET https://api.brightdata.com/dca/dataset?id={collection_id}&amp;format=json, bis Daten vorliegen oder ein Timeout von 180 Sekunden erreicht ist.</w:t>
      </w:r>
    </w:p>
    <w:p>
      <w:pPr>
        <w:pStyle w:val="ListNumber"/>
      </w:pPr>
      <w:r>
        <w:t>transform_courses() / aggregate_metadata(): wandelt die Rohdaten in das courses-/GymiProviders-/CourseDetails-Schema um. Booleans werden über mehrere Ergebnis-Entries hinweg per OR verknüpft, Standorte vereinigt.</w:t>
      </w:r>
    </w:p>
    <w:p>
      <w:pPr>
        <w:pStyle w:val="Code"/>
        <w:shd w:val="clear" w:color="auto" w:fill="F2F2F2"/>
        <w:pBdr>
          <w:top w:val="single" w:sz="4" w:space="4" w:color="CCCCCC"/>
          <w:left w:val="single" w:sz="4" w:space="4" w:color="CCCCCC"/>
          <w:bottom w:val="single" w:sz="4" w:space="4" w:color="CCCCCC"/>
          <w:right w:val="single" w:sz="4" w:space="4" w:color="CCCCCC"/>
        </w:pBdr>
      </w:pPr>
      <w:r>
        <w:t># scraping/brightdata/brightdata_avidiiScraper.py (Ausschnitt der Konfiguration)</w:t>
      </w:r>
    </w:p>
    <w:p>
      <w:pPr>
        <w:pStyle w:val="Code"/>
        <w:shd w:val="clear" w:color="auto" w:fill="F2F2F2"/>
        <w:pBdr>
          <w:top w:val="single" w:sz="4" w:space="4" w:color="CCCCCC"/>
          <w:left w:val="single" w:sz="4" w:space="4" w:color="CCCCCC"/>
          <w:bottom w:val="single" w:sz="4" w:space="4" w:color="CCCCCC"/>
          <w:right w:val="single" w:sz="4" w:space="4" w:color="CCCCCC"/>
        </w:pBdr>
      </w:pPr>
      <w:r>
        <w:t>BRIGHT_DATA_API_TOKEN = os.getenv("BRIGHT_DATA_API_TOKEN")</w:t>
      </w:r>
    </w:p>
    <w:p>
      <w:pPr>
        <w:pStyle w:val="Code"/>
        <w:shd w:val="clear" w:color="auto" w:fill="F2F2F2"/>
        <w:pBdr>
          <w:top w:val="single" w:sz="4" w:space="4" w:color="CCCCCC"/>
          <w:left w:val="single" w:sz="4" w:space="4" w:color="CCCCCC"/>
          <w:bottom w:val="single" w:sz="4" w:space="4" w:color="CCCCCC"/>
          <w:right w:val="single" w:sz="4" w:space="4" w:color="CCCCCC"/>
        </w:pBdr>
      </w:pPr>
      <w:r>
        <w:t>COLLECTOR_ID          = os.getenv("BRIGHT_DATA_COLLECTOR_ID_AVIDII")</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with ScrapeRun(SCRAPER_METHOD, PROVIDER_ID) as run:</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job_id   = trigger_scraper()</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raw_data = wait_for_results(job_id)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courses  = transform_courses(raw_data)</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 speichern in courses, GymiProviders, CourseDetails</w:t>
      </w:r>
    </w:p>
    <w:p>
      <w:r>
        <w:t>Die Hilfsfunktionen (ScrapeRun, log_scrape_error, record_price_history, parse_price, convert_date) werden nicht dupliziert, sondern direkt aus scraping/scrapegraphai/scrape_utils.py importiert (über einen sys.path-Eintrag auf den Nachbarordner) – das spart Code, bedeutet aber auch, dass die Bright-Data-Scraper eine Laufzeitabhängigkeit zu ScrapeGraphAI-Paketen wie openai und langchain-openai haben, obwohl sie selbst kein LLM verwenden (siehe Hinweis unten).</w:t>
      </w:r>
    </w:p>
    <w:p>
      <w:pPr>
        <w:pStyle w:val="Heading3"/>
      </w:pPr>
      <w:r>
        <w:t>Extraktionsschema im Bright-Data-Dashboard</w:t>
      </w:r>
    </w:p>
    <w:p>
      <w:pPr/>
      <w:r>
        <w:t>Welche Felder pro Kurs und pro Anbieter extrahiert werden, ist nicht im Projekt-Code hinterlegt, sondern als Freitext-Prompt im jeweiligen Data Collector der Bright-Data-Scraper-Studio-Oberfläche konfiguriert. Pro Kurs werden folgende Felder extrahiert:</w:t>
      </w:r>
    </w:p>
    <w:p>
      <w:pPr>
        <w:pStyle w:val="ListBullet"/>
      </w:pPr>
      <w:r>
        <w:t>Kursname, Kursart (Langzeitgymi oder Kurzzeitgymi)</w:t>
      </w:r>
    </w:p>
    <w:p>
      <w:pPr>
        <w:pStyle w:val="ListBullet"/>
      </w:pPr>
      <w:r>
        <w:t>Wochentag und Uhrzeit</w:t>
      </w:r>
    </w:p>
    <w:p>
      <w:pPr>
        <w:pStyle w:val="ListBullet"/>
      </w:pPr>
      <w:r>
        <w:t>Standort (z. B. Zürich HB, Stadelhofen, Winterthur, Online)</w:t>
      </w:r>
    </w:p>
    <w:p>
      <w:pPr>
        <w:pStyle w:val="ListBullet"/>
      </w:pPr>
      <w:r>
        <w:t>Startdatum und Enddatum (Format TT.MM.JJJJ)</w:t>
      </w:r>
    </w:p>
    <w:p>
      <w:pPr>
        <w:pStyle w:val="ListBullet"/>
      </w:pPr>
      <w:r>
        <w:t>Preis in CHF als Zahl (nur Gruppenpreis, keine Einzelstundenpreise); falls ein Rabatt sichtbar ist, zusätzlich der reguläre Preis und das Rabatt-Ablaufdatum</w:t>
      </w:r>
    </w:p>
    <w:p>
      <w:pPr>
        <w:pStyle w:val="ListBullet"/>
      </w:pPr>
      <w:r>
        <w:t>Verfügbarkeitsstatus (z. B. „freie Plätze“, „wenige Plätze“, „ausgebucht“)</w:t>
      </w:r>
    </w:p>
    <w:p>
      <w:pPr>
        <w:pStyle w:val="ListBullet"/>
      </w:pPr>
      <w:r>
        <w:t>Ob der Kurs online stattfindet</w:t>
      </w:r>
    </w:p>
    <w:p>
      <w:pPr/>
      <w:r>
        <w:t>Zusätzlich werden als Anbieter-Metadaten (einmal pro Anbieter, nicht pro Kurs) extrahiert:</w:t>
      </w:r>
    </w:p>
    <w:p>
      <w:pPr>
        <w:pStyle w:val="ListBullet"/>
      </w:pPr>
      <w:r>
        <w:t>Ob Aufsatzkorrektur, Einstufungstest, Prüfungsarchiv, Beratungsgespräch oder eigenes Lernmaterial angeboten wird</w:t>
      </w:r>
    </w:p>
    <w:p>
      <w:pPr>
        <w:pStyle w:val="ListBullet"/>
      </w:pPr>
      <w:r>
        <w:t>Ob E-Learning oder eine Online-Prüfung verfügbar ist</w:t>
      </w:r>
    </w:p>
    <w:p>
      <w:pPr>
        <w:pStyle w:val="ListBullet"/>
      </w:pPr>
      <w:r>
        <w:t>Ob Nachholoptionen, Aufholstunden, Hausaufgabenbetreuung oder Wiederholung verpasster Lektionen angeboten wird</w:t>
      </w:r>
    </w:p>
    <w:p>
      <w:pPr>
        <w:pStyle w:val="ListBullet"/>
      </w:pPr>
      <w:r>
        <w:t>Maximale Gruppengrösse als Zahl</w:t>
      </w:r>
    </w:p>
    <w:p>
      <w:pPr/>
      <w:r>
        <w:t>Diese Felder entsprechen direkt den Spalten des courses- bzw. CourseDetails-Schemas (Kapitel 5.2); transform_courses() und aggregate_metadata() übernehmen sie im Wesentlichen unverändert, statt sie aus HTML zu parsen.</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scraping/brightdata</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run_all_brightdata.py        # alle 5 parallel als eigene Prozesse</w:t>
      </w:r>
    </w:p>
    <w:p>
      <w:pPr>
        <w:pStyle w:val="Code"/>
        <w:shd w:val="clear" w:color="auto" w:fill="F2F2F2"/>
        <w:pBdr>
          <w:top w:val="single" w:sz="4" w:space="4" w:color="CCCCCC"/>
          <w:left w:val="single" w:sz="4" w:space="4" w:color="CCCCCC"/>
          <w:bottom w:val="single" w:sz="4" w:space="4" w:color="CCCCCC"/>
          <w:right w:val="single" w:sz="4" w:space="4" w:color="CCCCCC"/>
        </w:pBdr>
      </w:pPr>
      <w:r>
        <w:t>python brightdata_avidiiScraper.py  # einzeln</w:t>
      </w:r>
    </w:p>
    <w:p>
      <w:pPr>
        <w:spacing w:before="120" w:after="200"/>
        <w:ind w:left="227"/>
        <w:pBdr>
          <w:left w:val="single" w:sz="18" w:space="8" w:color="2F5496"/>
        </w:pBdr>
        <w:shd w:val="clear" w:color="auto" w:fill="EEF2FA"/>
      </w:pPr>
      <w:r>
        <w:rPr>
          <w:b/>
          <w:color w:val="2F5496"/>
        </w:rPr>
        <w:t xml:space="preserve">Hinweis: </w:t>
      </w:r>
      <w: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r>
        <w:t>Für Bright Data gibt es keinen Self-Healing-Mechanismus: Da die eigentliche Scraping-Logik im externen Dashboard liegt und nicht im Repository, kann der Self-Healing-Loop (Kapitel 7) dort keine Änderungen vornehmen.</w:t>
      </w:r>
    </w:p>
    <w:p>
      <w:pPr>
        <w:pStyle w:val="Heading3"/>
      </w:pPr>
      <w:r>
        <w:t>Collector-ID für einen neuen Anbieter einrichten</w:t>
      </w:r>
    </w:p>
    <w:p>
      <w:pPr/>
      <w:r>
        <w:t>Um Bright Data auf einen zusätzlichen Anbieter anzusetzen, muss zunächst im Bright-Data-Dashboard ein neuer Data Collector angelegt und dessen Collector-ID als Umgebungsvariable hinterlegt werden:</w:t>
      </w:r>
    </w:p>
    <w:p>
      <w:pPr>
        <w:pStyle w:val="ListNumber"/>
      </w:pPr>
      <w:r>
        <w:t>Im Bright-Data-Dashboard einloggen und zu Scraper / Scraper Studio navigieren.</w:t>
      </w:r>
    </w:p>
    <w:p>
      <w:pPr>
        <w:pStyle w:val="ListNumber"/>
      </w:pPr>
      <w:r>
        <w:t>Den gewünschten Collector öffnen; die Collector-ID steht als c_xxxxxxxxxxxxxxxx-Teil in der Browser-Adresszeile (https://brightdata.com/cp/scrapers/c_xxxxxxxxxxxxxxxx/stats?...).</w:t>
      </w:r>
    </w:p>
    <w:p>
      <w:pPr>
        <w:pStyle w:val="ListNumber"/>
      </w:pPr>
      <w:r>
        <w:t>Die ID als neue Variable BRIGHT_DATA_COLLECTOR_ID_&lt;ANBIETER&gt; in .env eintragen (siehe Kapitel 4.1) und im entsprechenden Scraper-Skript per os.getenv() referenzieren.</w:t>
      </w:r>
    </w:p>
    <w:p>
      <w:pPr/>
      <w:r>
        <w:t>Die Collector-ID wird, wie der BRIGHT_DATA_API_TOKEN, ausschliesslich über die Umgebungsvariablen in .env verwaltet und nicht versioniert.</w:t>
      </w:r>
    </w:p>
    <w:p>
      <w:pPr>
        <w:pStyle w:val="Heading2"/>
      </w:pPr>
      <w:r>
        <w:t>6.3 ScrapeGraphAI</w:t>
      </w:r>
    </w:p>
    <w:p>
      <w:r>
        <w:t>ScrapeGraphAI ist der einzige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SmartScraperGraph(...).run(). Die Bibliothek lädt die Seite intern selbst, rendert sie (auch JavaScript-generierte Inhalte) und lässt ein LLM daraus strukturiertes JSON extrahieren.</w:t>
      </w:r>
    </w:p>
    <w:p>
      <w:pPr>
        <w:pStyle w:val="Heading3"/>
      </w:pPr>
      <w:r>
        <w:t>LLM-Anbindung</w:t>
      </w:r>
    </w:p>
    <w:p>
      <w:r>
        <w:t>Das verwendete LLM ist kein öffentlicher OpenAI-Endpunkt, sondern ein von der Berner Fachhochschule selbst betriebenes, OpenAI-kompatibles Gateway:</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scraping/scrapegraphai/scrape_utils.py</w:t>
      </w:r>
    </w:p>
    <w:p>
      <w:pPr>
        <w:pStyle w:val="Code"/>
        <w:shd w:val="clear" w:color="auto" w:fill="F2F2F2"/>
        <w:pBdr>
          <w:top w:val="single" w:sz="4" w:space="4" w:color="CCCCCC"/>
          <w:left w:val="single" w:sz="4" w:space="4" w:color="CCCCCC"/>
          <w:bottom w:val="single" w:sz="4" w:space="4" w:color="CCCCCC"/>
          <w:right w:val="single" w:sz="4" w:space="4" w:color="CCCCCC"/>
        </w:pBdr>
      </w:pPr>
      <w:r>
        <w:t>BFH_BASE_URL = "https://inference.mlmp.ti.bfh.ch/api/v1"</w:t>
      </w:r>
    </w:p>
    <w:p>
      <w:pPr>
        <w:pStyle w:val="Code"/>
        <w:shd w:val="clear" w:color="auto" w:fill="F2F2F2"/>
        <w:pBdr>
          <w:top w:val="single" w:sz="4" w:space="4" w:color="CCCCCC"/>
          <w:left w:val="single" w:sz="4" w:space="4" w:color="CCCCCC"/>
          <w:bottom w:val="single" w:sz="4" w:space="4" w:color="CCCCCC"/>
          <w:right w:val="single" w:sz="4" w:space="4" w:color="CCCCCC"/>
        </w:pBdr>
      </w:pPr>
      <w:r>
        <w:t>BFH_MODEL    = "gpt-oss:120b"</w:t>
      </w:r>
    </w:p>
    <w:p>
      <w:pPr>
        <w:pStyle w:val="Code"/>
        <w:shd w:val="clear" w:color="auto" w:fill="F2F2F2"/>
        <w:pBdr>
          <w:top w:val="single" w:sz="4" w:space="4" w:color="CCCCCC"/>
          <w:left w:val="single" w:sz="4" w:space="4" w:color="CCCCCC"/>
          <w:bottom w:val="single" w:sz="4" w:space="4" w:color="CCCCCC"/>
          <w:right w:val="single" w:sz="4" w:space="4" w:color="CCCCCC"/>
        </w:pBdr>
      </w:pPr>
      <w:r>
        <w:t>llm_instance = ChatOpenAI(model=BFH_MODEL, api_key=BFH_API_KEY, base_url=BFH_BASE_URL)</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_DEFAULT_MODEL_TOKENS = 32000</w:t>
      </w:r>
    </w:p>
    <w:p>
      <w:pPr>
        <w:pStyle w:val="Code"/>
        <w:shd w:val="clear" w:color="auto" w:fill="F2F2F2"/>
        <w:pBdr>
          <w:top w:val="single" w:sz="4" w:space="4" w:color="CCCCCC"/>
          <w:left w:val="single" w:sz="4" w:space="4" w:color="CCCCCC"/>
          <w:bottom w:val="single" w:sz="4" w:space="4" w:color="CCCCCC"/>
          <w:right w:val="single" w:sz="4" w:space="4" w:color="CCCCCC"/>
        </w:pBdr>
      </w:pPr>
      <w:r>
        <w:t>_PROVIDER_MODEL_TOKENS_OVERRIDE = {2: 4000}  # lern-forum.ch: sehr grosse HTML-Seite,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sonst Context-Überlauf beim BFH-LLM</w:t>
      </w:r>
    </w:p>
    <w:p>
      <w:pPr>
        <w:spacing w:before="120" w:after="200"/>
        <w:ind w:left="227"/>
        <w:pBdr>
          <w:left w:val="single" w:sz="18" w:space="8" w:color="2F5496"/>
        </w:pBdr>
        <w:shd w:val="clear" w:color="auto" w:fill="EEF2FA"/>
      </w:pPr>
      <w:r>
        <w:rPr>
          <w:b/>
          <w:color w:val="2F5496"/>
        </w:rPr>
        <w:t xml:space="preserve">Hinweis: </w:t>
      </w:r>
      <w: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pPr>
        <w:pStyle w:val="Heading3"/>
      </w:pPr>
      <w:r>
        <w:t>Provider-spezifische Konfiguration: model_tokens/chunk_size</w:t>
      </w:r>
    </w:p>
    <w:p>
      <w: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scraping/scrapegraphai/scrape_utils.py</w:t>
      </w:r>
    </w:p>
    <w:p>
      <w:pPr>
        <w:pStyle w:val="Code"/>
        <w:shd w:val="clear" w:color="auto" w:fill="F2F2F2"/>
        <w:pBdr>
          <w:top w:val="single" w:sz="4" w:space="4" w:color="CCCCCC"/>
          <w:left w:val="single" w:sz="4" w:space="4" w:color="CCCCCC"/>
          <w:bottom w:val="single" w:sz="4" w:space="4" w:color="CCCCCC"/>
          <w:right w:val="single" w:sz="4" w:space="4" w:color="CCCCCC"/>
        </w:pBdr>
      </w:pPr>
      <w:r>
        <w:t># In smart_scraper_graph.py setzt ScrapeGraphAI intern die ParseNode wie folgt auf:</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parse_node = ParseNode(</w:t>
      </w:r>
    </w:p>
    <w:p>
      <w:pPr>
        <w:pStyle w:val="Code"/>
        <w:shd w:val="clear" w:color="auto" w:fill="F2F2F2"/>
        <w:pBdr>
          <w:top w:val="single" w:sz="4" w:space="4" w:color="CCCCCC"/>
          <w:left w:val="single" w:sz="4" w:space="4" w:color="CCCCCC"/>
          <w:bottom w:val="single" w:sz="4" w:space="4" w:color="CCCCCC"/>
          <w:right w:val="single" w:sz="4" w:space="4" w:color="CCCCCC"/>
        </w:pBdr>
      </w:pPr>
      <w:r>
        <w:t>#         ...</w:t>
      </w:r>
    </w:p>
    <w:p>
      <w:pPr>
        <w:pStyle w:val="Code"/>
        <w:shd w:val="clear" w:color="auto" w:fill="F2F2F2"/>
        <w:pBdr>
          <w:top w:val="single" w:sz="4" w:space="4" w:color="CCCCCC"/>
          <w:left w:val="single" w:sz="4" w:space="4" w:color="CCCCCC"/>
          <w:bottom w:val="single" w:sz="4" w:space="4" w:color="CCCCCC"/>
          <w:right w:val="single" w:sz="4" w:space="4" w:color="CCCCCC"/>
        </w:pBdr>
      </w:pPr>
      <w:r>
        <w:t>#         node_config={"llm_model": ..., "chunk_size": self.model_token}</w:t>
      </w:r>
    </w:p>
    <w:p>
      <w:pPr>
        <w:pStyle w:val="Code"/>
        <w:shd w:val="clear" w:color="auto" w:fill="F2F2F2"/>
        <w:pBdr>
          <w:top w:val="single" w:sz="4" w:space="4" w:color="CCCCCC"/>
          <w:left w:val="single" w:sz="4" w:space="4" w:color="CCCCCC"/>
          <w:bottom w:val="single" w:sz="4" w:space="4" w:color="CCCCCC"/>
          <w:right w:val="single" w:sz="4" w:space="4" w:color="CCCCCC"/>
        </w:pBdr>
      </w:pPr>
      <w:r>
        <w:t>#     )</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Das heisst: model_tokens (im llm-Block der graph_config) wird DIREKT als</w:t>
      </w:r>
    </w:p>
    <w:p>
      <w:pPr>
        <w:pStyle w:val="Code"/>
        <w:shd w:val="clear" w:color="auto" w:fill="F2F2F2"/>
        <w:pBdr>
          <w:top w:val="single" w:sz="4" w:space="4" w:color="CCCCCC"/>
          <w:left w:val="single" w:sz="4" w:space="4" w:color="CCCCCC"/>
          <w:bottom w:val="single" w:sz="4" w:space="4" w:color="CCCCCC"/>
          <w:right w:val="single" w:sz="4" w:space="4" w:color="CCCCCC"/>
        </w:pBdr>
      </w:pPr>
      <w:r>
        <w:t># chunk_size für die ParseNode verwendet - ein separater Top-Level-Parameter</w:t>
      </w:r>
    </w:p>
    <w:p>
      <w:pPr>
        <w:pStyle w:val="Code"/>
        <w:shd w:val="clear" w:color="auto" w:fill="F2F2F2"/>
        <w:pBdr>
          <w:top w:val="single" w:sz="4" w:space="4" w:color="CCCCCC"/>
          <w:left w:val="single" w:sz="4" w:space="4" w:color="CCCCCC"/>
          <w:bottom w:val="single" w:sz="4" w:space="4" w:color="CCCCCC"/>
          <w:right w:val="single" w:sz="4" w:space="4" w:color="CCCCCC"/>
        </w:pBdr>
      </w:pPr>
      <w:r>
        <w:t># "chunk_size" existiert dafür gar nicht und würde stillschweigend ignoriert.</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Code"/>
        <w:shd w:val="clear" w:color="auto" w:fill="F2F2F2"/>
        <w:pBdr>
          <w:top w:val="single" w:sz="4" w:space="4" w:color="CCCCCC"/>
          <w:left w:val="single" w:sz="4" w:space="4" w:color="CCCCCC"/>
          <w:bottom w:val="single" w:sz="4" w:space="4" w:color="CCCCCC"/>
          <w:right w:val="single" w:sz="4" w:space="4" w:color="CCCCCC"/>
        </w:pBdr>
      </w:pPr>
      <w:r>
        <w:t># Konsequenz: Kleinere model_tokens -&gt; mehr Chunks -&gt; mehr LLM-Calls, aber weniger</w:t>
      </w:r>
    </w:p>
    <w:p>
      <w:pPr>
        <w:pStyle w:val="Code"/>
        <w:shd w:val="clear" w:color="auto" w:fill="F2F2F2"/>
        <w:pBdr>
          <w:top w:val="single" w:sz="4" w:space="4" w:color="CCCCCC"/>
          <w:left w:val="single" w:sz="4" w:space="4" w:color="CCCCCC"/>
          <w:bottom w:val="single" w:sz="4" w:space="4" w:color="CCCCCC"/>
          <w:right w:val="single" w:sz="4" w:space="4" w:color="CCCCCC"/>
        </w:pBdr>
      </w:pPr>
      <w:r>
        <w:t># Kontext pro Chunk (schlechtere Extraktionsqualität). Grössere model_tokens -&gt;</w:t>
      </w:r>
    </w:p>
    <w:p>
      <w:pPr>
        <w:pStyle w:val="Code"/>
        <w:shd w:val="clear" w:color="auto" w:fill="F2F2F2"/>
        <w:pBdr>
          <w:top w:val="single" w:sz="4" w:space="4" w:color="CCCCCC"/>
          <w:left w:val="single" w:sz="4" w:space="4" w:color="CCCCCC"/>
          <w:bottom w:val="single" w:sz="4" w:space="4" w:color="CCCCCC"/>
          <w:right w:val="single" w:sz="4" w:space="4" w:color="CCCCCC"/>
        </w:pBdr>
      </w:pPr>
      <w:r>
        <w:t># wenige Chunks mit viel Kontext, aber Risiko "Context size has been exceeded".</w:t>
      </w:r>
    </w:p>
    <w:p>
      <w: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pPr>
        <w:spacing w:before="120" w:after="200"/>
        <w:ind w:left="227"/>
        <w:pBdr>
          <w:left w:val="single" w:sz="18" w:space="8" w:color="2F5496"/>
        </w:pBdr>
        <w:shd w:val="clear" w:color="auto" w:fill="EEF2FA"/>
      </w:pPr>
      <w:r>
        <w:rPr>
          <w:b/>
          <w:color w:val="2F5496"/>
        </w:rPr>
        <w:t xml:space="preserve">Hinweis: </w:t>
      </w:r>
      <w:r>
        <w:t>Vorsicht bei den Kommentaren/Log-Meldungen einiger Scraper: sGAI_learningCultureScraper.py, sGAI_nachhilfeAkademieScraper.py und sGAI_schlaumacherScraper.py behaupten in Docstring und print()-Ausgabe, mit "graph_config (chunk_size=4000)" zu laufen — tatsächlich importieren sie aber das ganz normale graph_config-Objekt mit dem Standardwert model_tokens=32000, nicht get_graph_config()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pPr>
        <w:pStyle w:val="Heading3"/>
      </w:pPr>
      <w:r>
        <w:t>Prompt-Design am Beispiel Avidii</w:t>
      </w:r>
    </w:p>
    <w:p>
      <w:r>
        <w:t>Statt CSS-Selektoren definiert jeder Scraper einen Extraktions-Prompt in natürlicher Sprache. Das folgende Beispiel (gekürzt) zeigt das Muster – Felder pro Kurs, gefolgt von Anbieter-Metadaten als Booleans, mit einer festen JSON-Struktur als Ausgabeformat:</w:t>
      </w:r>
    </w:p>
    <w:p>
      <w:pPr>
        <w:pStyle w:val="Code"/>
        <w:shd w:val="clear" w:color="auto" w:fill="F2F2F2"/>
        <w:pBdr>
          <w:top w:val="single" w:sz="4" w:space="4" w:color="CCCCCC"/>
          <w:left w:val="single" w:sz="4" w:space="4" w:color="CCCCCC"/>
          <w:bottom w:val="single" w:sz="4" w:space="4" w:color="CCCCCC"/>
          <w:right w:val="single" w:sz="4" w:space="4" w:color="CCCCCC"/>
        </w:pBdr>
      </w:pPr>
      <w:r>
        <w:t># scraping/scrapegraphai/sGAI_avidiiScraper.py – HARDCODED_PROMPT (Ausschnitt)</w:t>
      </w:r>
    </w:p>
    <w:p>
      <w:pPr>
        <w:pStyle w:val="Code"/>
        <w:shd w:val="clear" w:color="auto" w:fill="F2F2F2"/>
        <w:pBdr>
          <w:top w:val="single" w:sz="4" w:space="4" w:color="CCCCCC"/>
          <w:left w:val="single" w:sz="4" w:space="4" w:color="CCCCCC"/>
          <w:bottom w:val="single" w:sz="4" w:space="4" w:color="CCCCCC"/>
          <w:right w:val="single" w:sz="4" w:space="4" w:color="CCCCCC"/>
        </w:pBdr>
      </w:pPr>
      <w:r>
        <w:t>Du bist ein Datenextraktions-Assistent. Extrahiere alle Kurszeilen aus dieser Webseite.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Für jeden Kurs gib folgende Felder zurück:</w:t>
      </w:r>
    </w:p>
    <w:p>
      <w:pPr>
        <w:pStyle w:val="Code"/>
        <w:shd w:val="clear" w:color="auto" w:fill="F2F2F2"/>
        <w:pBdr>
          <w:top w:val="single" w:sz="4" w:space="4" w:color="CCCCCC"/>
          <w:left w:val="single" w:sz="4" w:space="4" w:color="CCCCCC"/>
          <w:bottom w:val="single" w:sz="4" w:space="4" w:color="CCCCCC"/>
          <w:right w:val="single" w:sz="4" w:space="4" w:color="CCCCCC"/>
        </w:pBdr>
      </w:pPr>
      <w:r>
        <w:t>- course_name, weekday, course_time, location</w:t>
      </w:r>
    </w:p>
    <w:p>
      <w:pPr>
        <w:pStyle w:val="Code"/>
        <w:shd w:val="clear" w:color="auto" w:fill="F2F2F2"/>
        <w:pBdr>
          <w:top w:val="single" w:sz="4" w:space="4" w:color="CCCCCC"/>
          <w:left w:val="single" w:sz="4" w:space="4" w:color="CCCCCC"/>
          <w:bottom w:val="single" w:sz="4" w:space="4" w:color="CCCCCC"/>
          <w:right w:val="single" w:sz="4" w:space="4" w:color="CCCCCC"/>
        </w:pBdr>
      </w:pPr>
      <w:r>
        <w:t>- start_date / end_date im Format TT.MM.JJJJ</w:t>
      </w:r>
    </w:p>
    <w:p>
      <w:pPr>
        <w:pStyle w:val="Code"/>
        <w:shd w:val="clear" w:color="auto" w:fill="F2F2F2"/>
        <w:pBdr>
          <w:top w:val="single" w:sz="4" w:space="4" w:color="CCCCCC"/>
          <w:left w:val="single" w:sz="4" w:space="4" w:color="CCCCCC"/>
          <w:bottom w:val="single" w:sz="4" w:space="4" w:color="CCCCCC"/>
          <w:right w:val="single" w:sz="4" w:space="4" w:color="CCCCCC"/>
        </w:pBdr>
      </w:pPr>
      <w:r>
        <w:t>- price_chf: Gruppenpreis in CHF als Zahl (nur Gruppenpreise, keine Einzelstundenpreise)</w:t>
      </w:r>
    </w:p>
    <w:p>
      <w:pPr>
        <w:pStyle w:val="Code"/>
        <w:shd w:val="clear" w:color="auto" w:fill="F2F2F2"/>
        <w:pBdr>
          <w:top w:val="single" w:sz="4" w:space="4" w:color="CCCCCC"/>
          <w:left w:val="single" w:sz="4" w:space="4" w:color="CCCCCC"/>
          <w:bottom w:val="single" w:sz="4" w:space="4" w:color="CCCCCC"/>
          <w:right w:val="single" w:sz="4" w:space="4" w:color="CCCCCC"/>
        </w:pBdr>
      </w:pPr>
      <w:r>
        <w:t>- availability: "Freie Plätze" | "Wenige Plätze" | "Ausgebucht"</w:t>
      </w:r>
    </w:p>
    <w:p>
      <w:pPr>
        <w:pStyle w:val="Code"/>
        <w:shd w:val="clear" w:color="auto" w:fill="F2F2F2"/>
        <w:pBdr>
          <w:top w:val="single" w:sz="4" w:space="4" w:color="CCCCCC"/>
          <w:left w:val="single" w:sz="4" w:space="4" w:color="CCCCCC"/>
          <w:bottom w:val="single" w:sz="4" w:space="4" w:color="CCCCCC"/>
          <w:right w:val="single" w:sz="4" w:space="4" w:color="CCCCCC"/>
        </w:pBdr>
      </w:pPr>
      <w:r>
        <w:t>- is_online: true/false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Gib auch Anbieter-Metadaten zurück (aufsatzkorrektur, einstufungstest, e_learning, ...)</w:t>
      </w:r>
    </w:p>
    <w:p>
      <w:pPr>
        <w:pStyle w:val="Code"/>
        <w:shd w:val="clear" w:color="auto" w:fill="F2F2F2"/>
        <w:pBdr>
          <w:top w:val="single" w:sz="4" w:space="4" w:color="CCCCCC"/>
          <w:left w:val="single" w:sz="4" w:space="4" w:color="CCCCCC"/>
          <w:bottom w:val="single" w:sz="4" w:space="4" w:color="CCCCCC"/>
          <w:right w:val="single" w:sz="4" w:space="4" w:color="CCCCCC"/>
        </w:pBdr>
      </w:pPr>
      <w:r>
        <w:t>als Booleans, jeweils an konkrete Textindikatoren geknüpft, z. B.:</w:t>
      </w:r>
    </w:p>
    <w:p>
      <w:pPr>
        <w:pStyle w:val="Code"/>
        <w:shd w:val="clear" w:color="auto" w:fill="F2F2F2"/>
        <w:pBdr>
          <w:top w:val="single" w:sz="4" w:space="4" w:color="CCCCCC"/>
          <w:left w:val="single" w:sz="4" w:space="4" w:color="CCCCCC"/>
          <w:bottom w:val="single" w:sz="4" w:space="4" w:color="CCCCCC"/>
          <w:right w:val="single" w:sz="4" w:space="4" w:color="CCCCCC"/>
        </w:pBdr>
      </w:pPr>
      <w:r>
        <w:t>- e_learning: true wenn "Lerncockpit", "Google Classroom" oder "E-Learning" erwähnt wird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Antworte NUR mit einem JSON-Objekt mit den Feldern "courses" (Liste) und "metadata" (Objekt).</w:t>
      </w:r>
    </w:p>
    <w:p>
      <w:r>
        <w:t>Bemerkenswert: SmartScraperGraph.run() liefert das Ergebnis nicht immer sauber zurück – die Bibliothek wirft in manchen Fällen eine Exception, deren Fehlertext trotzdem das gewünschte JSON enthält (z. B. bei internen Parsing-Warnungen). scrape_courses() fängt das ab und versucht, das JSON aus dem Exception-Text zu retten, bevor der Fehler wirklich als Scraping-Fehler gewertet wird:</w:t>
      </w:r>
    </w:p>
    <w:p>
      <w:pPr>
        <w:pStyle w:val="Code"/>
        <w:shd w:val="clear" w:color="auto" w:fill="F2F2F2"/>
        <w:pBdr>
          <w:top w:val="single" w:sz="4" w:space="4" w:color="CCCCCC"/>
          <w:left w:val="single" w:sz="4" w:space="4" w:color="CCCCCC"/>
          <w:bottom w:val="single" w:sz="4" w:space="4" w:color="CCCCCC"/>
          <w:right w:val="single" w:sz="4" w:space="4" w:color="CCCCCC"/>
        </w:pBdr>
      </w:pPr>
      <w:r>
        <w:t>try:</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scraper = SmartScraperGraph(prompt=prompt, source=entry["url"], config=graph_config)</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result = scraper.run()</w:t>
      </w:r>
    </w:p>
    <w:p>
      <w:pPr>
        <w:pStyle w:val="Code"/>
        <w:shd w:val="clear" w:color="auto" w:fill="F2F2F2"/>
        <w:pBdr>
          <w:top w:val="single" w:sz="4" w:space="4" w:color="CCCCCC"/>
          <w:left w:val="single" w:sz="4" w:space="4" w:color="CCCCCC"/>
          <w:bottom w:val="single" w:sz="4" w:space="4" w:color="CCCCCC"/>
          <w:right w:val="single" w:sz="4" w:space="4" w:color="CCCCCC"/>
        </w:pBdr>
      </w:pPr>
      <w:r>
        <w:t>except Exception as 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extracted = extract_json_from_string(str(e))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if extracted:</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return extracted   # JSON aus der Exception gerettet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raise</w:t>
      </w:r>
    </w:p>
    <w:p>
      <w:pPr>
        <w:pStyle w:val="Heading3"/>
      </w:pPr>
      <w:r>
        <w:t>Sonderfall: PDF-Verarbeitung (Schule Zürich Nord)</w:t>
      </w:r>
    </w:p>
    <w:p>
      <w: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pPr>
        <w:pStyle w:val="Heading3"/>
      </w:pPr>
      <w:r>
        <w:t>Self-Healing-Rücklese (Avidii als Referenzimplementierung)</w:t>
      </w:r>
    </w:p>
    <w:p>
      <w:r>
        <w:t>sGAI_avidiiScraper.py demonstriert den vollständigen Self-Healing-Kreislauf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Repariert der Self-Healing-Loop also den Prompt, greift die Verbesserung automatisch beim nächsten Lauf – ohne Code-Deployment. Die übrigen elf ScrapeGraphAI-Scraper nutzen diesen Rücklese-Mechanismus noch nicht.</w:t>
      </w:r>
    </w:p>
    <w:p>
      <w:pPr>
        <w:pStyle w:val="Heading3"/>
      </w:pPr>
      <w:r>
        <w:t>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scraping/scrapegraphai</w:t>
      </w:r>
    </w:p>
    <w:p>
      <w:pPr>
        <w:pStyle w:val="Code"/>
        <w:shd w:val="clear" w:color="auto" w:fill="F2F2F2"/>
        <w:pBdr>
          <w:top w:val="single" w:sz="4" w:space="4" w:color="CCCCCC"/>
          <w:left w:val="single" w:sz="4" w:space="4" w:color="CCCCCC"/>
          <w:bottom w:val="single" w:sz="4" w:space="4" w:color="CCCCCC"/>
          <w:right w:val="single" w:sz="4" w:space="4" w:color="CCCCCC"/>
        </w:pBdr>
      </w:pPr>
      <w:r>
        <w:t>.\venv\Scripts\activate</w:t>
      </w:r>
    </w:p>
    <w:p>
      <w:pPr>
        <w:pStyle w:val="Code"/>
        <w:shd w:val="clear" w:color="auto" w:fill="F2F2F2"/>
        <w:pBdr>
          <w:top w:val="single" w:sz="4" w:space="4" w:color="CCCCCC"/>
          <w:left w:val="single" w:sz="4" w:space="4" w:color="CCCCCC"/>
          <w:bottom w:val="single" w:sz="4" w:space="4" w:color="CCCCCC"/>
          <w:right w:val="single" w:sz="4" w:space="4" w:color="CCCCCC"/>
        </w:pBdr>
      </w:pPr>
      <w:r>
        <w:t>python run_all_scrapers.py           # alle 12 parallel als eigene Prozesse</w:t>
      </w:r>
    </w:p>
    <w:p>
      <w:pPr>
        <w:pStyle w:val="Code"/>
        <w:shd w:val="clear" w:color="auto" w:fill="F2F2F2"/>
        <w:pBdr>
          <w:top w:val="single" w:sz="4" w:space="4" w:color="CCCCCC"/>
          <w:left w:val="single" w:sz="4" w:space="4" w:color="CCCCCC"/>
          <w:bottom w:val="single" w:sz="4" w:space="4" w:color="CCCCCC"/>
          <w:right w:val="single" w:sz="4" w:space="4" w:color="CCCCCC"/>
        </w:pBdr>
      </w:pPr>
      <w:r>
        <w:t>python sGAI_avidiiScraper.py          # einzeln</w:t>
      </w:r>
    </w:p>
    <w:p>
      <w:pPr>
        <w:pStyle w:val="Heading2"/>
      </w:pPr>
      <w:r>
        <w:t>6.4 CrawlAI (Platzhalter – von Studierenden zu ergänzen)</w:t>
      </w:r>
    </w:p>
    <w:p>
      <w:pPr>
        <w:spacing w:before="120" w:after="200"/>
        <w:ind w:left="227"/>
        <w:pBdr>
          <w:left w:val="single" w:sz="18" w:space="8" w:color="2F5496"/>
        </w:pBdr>
        <w:shd w:val="clear" w:color="auto" w:fill="EEF2FA"/>
      </w:pPr>
      <w:r>
        <w:rPr>
          <w:b/>
          <w:color w:val="2F5496"/>
        </w:rPr>
        <w:t xml:space="preserve">Hinweis: </w:t>
      </w:r>
      <w:r>
        <w:t>Dieses Kapitel ist bewusst als Gerüst angelegt. CrawlAI ist im aktuellen Code an keiner Stelle vorhanden (0 Treffer in package.json, allen requirements.txt-Dateien und dem gesamten Quellcode). Auch die Bachelorarbeit behandelt es nicht inhaltlich – die einzige Erwähnung im gesamten Dokument ist ein Literaturzitat im Verzeichnis (Tugui, D.-C., 2026, Medium-Artikel über Open-Source-Scraping-Frameworks inkl. ScrapeGraphAI und Crawl4AI), ohne Bezug im Fliesstext. Eine zukünftige Bearbeiterin/ein zukünftiger Bearbeiter soll dieses Kapitel als vierte, ergänzende Scraping-Technologie ausarbeiten.</w:t>
      </w:r>
    </w:p>
    <w:p>
      <w:r>
        <w:t>Vorgeschlagene Gliederung für die Ausarbeitung:</w:t>
      </w:r>
    </w:p>
    <w:p>
      <w:pPr>
        <w:pStyle w:val="ListNumber"/>
      </w:pPr>
      <w:r>
        <w:t>Was ist CrawlAI? Kurzeinordnung als Open-Source-Framework für LLM-natives Web-Crawling.</w:t>
      </w:r>
    </w:p>
    <w:p>
      <w:pPr>
        <w:pStyle w:val="ListNumber"/>
      </w:pPr>
      <w:r>
        <w:t>Funktionsweise: Architektur, Unterschied zum SmartScraperGraph-Ansatz von ScrapeGraphAI (z. B. Markdown-Extraktion, eigenes Chunking, Browser-Steuerung).</w:t>
      </w:r>
    </w:p>
    <w:p>
      <w:pPr>
        <w:pStyle w:val="ListNumber"/>
      </w:pPr>
      <w:r>
        <w:t>Vergleich zu ScrapeGraphAI: Gemeinsamkeiten/Unterschiede im LLM-gestützten Scraping-Paradigma; wo CrawlAI Vorteile bieten könnte (z. B. Performance, Kosten, Kontrollierbarkeit).</w:t>
      </w:r>
    </w:p>
    <w:p>
      <w:pPr>
        <w:pStyle w:val="ListNumber"/>
      </w:pPr>
      <w:r>
        <w:t>Setup: Installation, benötigte Abhängigkeiten, Konfiguration eines LLM-Backends (z. B. ob das bestehende BFH-Gateway wiederverwendbar wäre).</w:t>
      </w:r>
    </w:p>
    <w:p>
      <w:pPr>
        <w:pStyle w:val="ListNumber"/>
      </w:pPr>
      <w:r>
        <w:t>Beispielintegration: ein konkreter Beispiel-Scraper für einen der 12 Anbieter, nach demselben scrape_runs/scrape_errors-Lebenszyklus wie die bestehenden drei Methoden.</w:t>
      </w:r>
    </w:p>
    <w:p>
      <w:pPr>
        <w:pStyle w:val="ListNumber"/>
      </w:pPr>
      <w:r>
        <w:t>Bewertung: Eignung für dieses Projekt, ggf. Empfehlung für/gegen produktiven Einsatz.</w:t>
      </w:r>
    </w:p>
    <w:p>
      <w:pPr>
        <w:pStyle w:val="Heading1"/>
      </w:pPr>
      <w:r>
        <w:t>7. Self-Healing-Mechanismus</w:t>
      </w:r>
    </w:p>
    <w:p>
      <w: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pPr>
        <w:pStyle w:val="Caption2"/>
        <w:spacing w:after="40"/>
      </w:pPr>
      <w:r>
        <w:t>Tabelle 12: Tabellen im Self-Healing-Kreislauf</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Tabelle</w:t>
            </w:r>
          </w:p>
        </w:tc>
        <w:tc>
          <w:tcPr>
            <w:tcW w:type="dxa" w:w="3135"/>
            <w:shd w:val="clear" w:color="auto" w:fill="2F5496"/>
          </w:tcPr>
          <w:p>
            <w:r/>
            <w:r>
              <w:rPr>
                <w:b/>
                <w:color w:val="FFFFFF"/>
                <w:sz w:val="19"/>
              </w:rPr>
              <w:t>Zweck im Self-Healing-Kreislauf</w:t>
            </w:r>
          </w:p>
        </w:tc>
        <w:tc>
          <w:tcPr>
            <w:tcW w:type="dxa" w:w="3135"/>
            <w:shd w:val="clear" w:color="auto" w:fill="2F5496"/>
          </w:tcPr>
          <w:p>
            <w:r/>
            <w:r>
              <w:rPr>
                <w:b/>
                <w:color w:val="FFFFFF"/>
                <w:sz w:val="19"/>
              </w:rPr>
              <w:t>Relevante Felder</w:t>
            </w:r>
          </w:p>
        </w:tc>
      </w:tr>
      <w:tr>
        <w:tc>
          <w:tcPr>
            <w:tcW w:type="dxa" w:w="3135"/>
          </w:tcPr>
          <w:p>
            <w:r/>
            <w:r>
              <w:rPr>
                <w:sz w:val="19"/>
              </w:rPr>
              <w:t>scraper_registry</w:t>
            </w:r>
          </w:p>
        </w:tc>
        <w:tc>
          <w:tcPr>
            <w:tcW w:type="dxa" w:w="3135"/>
          </w:tcPr>
          <w:p>
            <w:r/>
            <w:r>
              <w:rPr>
                <w:sz w:val="19"/>
              </w:rPr>
              <w:t>Live editierbare Selektoren/Prompts pro Anbieter+Methode. Wird vom Loop geschrieben, von einzelnen Scrapern zur Laufzeit gelesen (aktuell nur Avidii, siehe Kapitel 6.3).</w:t>
            </w:r>
          </w:p>
        </w:tc>
        <w:tc>
          <w:tcPr>
            <w:tcW w:type="dxa" w:w="3135"/>
          </w:tcPr>
          <w:p>
            <w:r/>
            <w:r>
              <w:rPr>
                <w:sz w:val="19"/>
              </w:rPr>
              <w:t>provider_id, scraper_method, field_name, current_value, fallback_value, last_updated_by, last_updated_at</w:t>
            </w:r>
          </w:p>
        </w:tc>
      </w:tr>
      <w:tr>
        <w:tc>
          <w:tcPr>
            <w:tcW w:type="dxa" w:w="3135"/>
          </w:tcPr>
          <w:p>
            <w:r/>
            <w:r>
              <w:rPr>
                <w:sz w:val="19"/>
              </w:rPr>
              <w:t>scrape_errors</w:t>
            </w:r>
          </w:p>
        </w:tc>
        <w:tc>
          <w:tcPr>
            <w:tcW w:type="dxa" w:w="3135"/>
          </w:tcPr>
          <w:p>
            <w:r/>
            <w:r>
              <w:rPr>
                <w:sz w:val="19"/>
              </w:rPr>
              <w:t>Input für Detect/Analyze, Ziel für Mark. html_snapshot liefert den DOM-Kontext für den LLM-Reparaturvorschlag.</w:t>
            </w:r>
          </w:p>
        </w:tc>
        <w:tc>
          <w:tcPr>
            <w:tcW w:type="dxa" w:w="3135"/>
          </w:tcPr>
          <w:p>
            <w:r/>
            <w:r>
              <w:rPr>
                <w:sz w:val="19"/>
              </w:rPr>
              <w:t>error_type, html_snapshot, fixed_by_ai, fixed_at, ai_suggested_selector</w:t>
            </w:r>
          </w:p>
        </w:tc>
      </w:tr>
    </w:tbl>
    <w:p>
      <w:pPr>
        <w:spacing w:after="200"/>
      </w:pPr>
    </w:p>
    <w:p>
      <w:pPr>
        <w:pStyle w:val="Heading2"/>
      </w:pPr>
      <w:r>
        <w:t>7.1 Der Fünf-Schritt-Ablauf</w:t>
      </w:r>
    </w:p>
    <w:p>
      <w:pPr>
        <w:pStyle w:val="ListNumber"/>
      </w:pPr>
      <w:r>
        <w:t>Detect: detect_open_errors(limit) liest scrape_errors WHERE fixed_by_ai IS NULL OR fixed_by_ai = false, sortiert nach Aktualität, begrenzt auf limit Einträge.</w:t>
      </w:r>
    </w:p>
    <w:p>
      <w:pPr>
        <w:pStyle w:val="ListNumber"/>
      </w:pPr>
      <w:r>
        <w:t>Analyze: ERROR_TYPE_MAPPING bildet jeden error_type auf (scraper_method, field_name) ab (z. B. PRICE_SELECTOR_FAILED -&gt; puppeteer/price_container). Für ScrapeGraphAI ermittelt resolve_field_name(), ob der Anbieter das ältere main_prompt-Textfeld oder das neuere prompts-JSON-Feld in scraper_registry verwendet. Der aktuelle Wert wird geladen; ist scrape_errors.html_snapshot leer, wird ersatzweise die Anbieter-Homepage live nachgeladen (gekappt auf 50 KB).</w:t>
      </w:r>
    </w:p>
    <w:p>
      <w:pPr>
        <w:pStyle w:val="ListNumber"/>
      </w:pPr>
      <w:r>
        <w:t>Suggest: LLMProvider (llm_provider.py) ruft Gemini 2.5 Flash auf – suggest_selector() liefert bei Puppeteer-Fehlern einen reinen CSS-Selektor (oder NO_SUGGESTION), suggest_prompt() bei ScrapeGraphAI-Fehlern einen verbesserten Prompt bzw. ein neu verschlüsseltes JSON-Objekt für das prompts-Feld. Bei HTTP 429/503 wird bis zu dreimal mit 30 Sekunden Backoff wiederholt.</w:t>
      </w:r>
    </w:p>
    <w:p>
      <w:pPr>
        <w:pStyle w:val="ListNumber"/>
      </w:pPr>
      <w:r>
        <w:t>Apply: registry_helpers.update_value_from_self_healing() schreibt den neuen Wert nach scraper_registry.current_value, inkl. last_updated_by='self_healing_loop' und last_updated_at.</w:t>
      </w:r>
    </w:p>
    <w:p>
      <w:pPr>
        <w:pStyle w:val="ListNumber"/>
      </w:pPr>
      <w:r>
        <w:t>Mark: mark_error_as_fixed() setzt scrape_errors.fixed_by_ai=true, fixed_at und ai_suggested_selector.</w:t>
      </w:r>
    </w:p>
    <w:p>
      <w:pPr>
        <w:pStyle w:val="Heading2"/>
      </w:pPr>
      <w:r>
        <w:t>7.2 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cd scraping/self-healing</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 normaler Lauf</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--limit 5        # max. 5 Fehler pro Lauf (siehe 7.3)</w:t>
      </w:r>
    </w:p>
    <w:p>
      <w:pPr>
        <w:pStyle w:val="Code"/>
        <w:shd w:val="clear" w:color="auto" w:fill="F2F2F2"/>
        <w:pBdr>
          <w:top w:val="single" w:sz="4" w:space="4" w:color="CCCCCC"/>
          <w:left w:val="single" w:sz="4" w:space="4" w:color="CCCCCC"/>
          <w:bottom w:val="single" w:sz="4" w:space="4" w:color="CCCCCC"/>
          <w:right w:val="single" w:sz="4" w:space="4" w:color="CCCCCC"/>
        </w:pBdr>
      </w:pPr>
      <w:r>
        <w:t>python self_healing_loop.py --dry-run         # Vorschläge anzeigen, nichts schreiben</w:t>
      </w:r>
    </w:p>
    <w:p>
      <w:pPr>
        <w:pStyle w:val="Heading2"/>
      </w:pPr>
      <w:r>
        <w:t>7.3 Automatisierter Lauf &amp; Budget-Grenzen</w:t>
      </w:r>
    </w:p>
    <w:p>
      <w: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pPr>
        <w:spacing w:before="120" w:after="200"/>
        <w:ind w:left="227"/>
        <w:pBdr>
          <w:left w:val="single" w:sz="18" w:space="8" w:color="2F5496"/>
        </w:pBdr>
        <w:shd w:val="clear" w:color="auto" w:fill="EEF2FA"/>
      </w:pPr>
      <w:r>
        <w:rPr>
          <w:b/>
          <w:color w:val="2F5496"/>
        </w:rPr>
        <w:t xml:space="preserve">Hinweis: </w:t>
      </w:r>
      <w: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pPr>
        <w:pStyle w:val="Heading2"/>
      </w:pPr>
      <w:r>
        <w:t>7.4 Grenzen</w:t>
      </w:r>
    </w:p>
    <w:p>
      <w:pPr>
        <w:pStyle w:val="ListBullet"/>
      </w:pPr>
      <w:r>
        <w:t>Bright Data ist nicht heilbar: Die Scraping-Logik liegt im externen Dashboard, ausserhalb der Reichweite des Loops (siehe Kapitel 6.2).</w:t>
      </w:r>
    </w:p>
    <w:p>
      <w:pPr>
        <w:pStyle w:val="ListBullet"/>
      </w:pPr>
      <w:r>
        <w:t>Nur ein Teil der ScrapeGraphAI-Scraper liest reparierte Prompts tatsächlich zur Laufzeit zurück (aktuell nur Avidii, siehe Kapitel 6.3 und 5.3) – bei den übrigen landet die Reparatur zwar in scraper_registry, wirkt sich aber erst aus, wenn der jeweilige Scraper ebenfalls auf load_prompt()-Rücklese umgestellt wird.</w:t>
      </w:r>
    </w:p>
    <w:p>
      <w:pPr>
        <w:pStyle w:val="ListBullet"/>
      </w:pPr>
      <w:r>
        <w:t>Gemessene Wirksamkeit laut BT-Evaluation (Stand BT-Abgabe): rund 81 % der reparierbaren Puppeteer-Fehler und rund 19 % der ScrapeGraphAI-Fehler wurden erfolgreich automatisch behoben.</w:t>
      </w:r>
    </w:p>
    <w:p>
      <w:pPr>
        <w:pStyle w:val="Heading1"/>
      </w:pPr>
      <w:r>
        <w:t>8. ZAP-Prüfungstermine-Scraper</w:t>
      </w:r>
    </w:p>
    <w:p>
      <w: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pPr>
        <w:pStyle w:val="Heading2"/>
      </w:pPr>
      <w:r>
        <w:t>8.1 Bewusst halbautomatisch statt vollautomatisch</w:t>
      </w:r>
    </w:p>
    <w:p>
      <w:r>
        <w:t>Ein falsches Prüfungsdatum hat für Nutzer:innen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'scraper:zh.ch', damit im Nachhinein erkennbar bleibt, welche Daten automatisiert und welche manuell (updated_by = 'manual') gepflegt wurden.</w:t>
      </w:r>
    </w:p>
    <w:p>
      <w:pPr>
        <w:pStyle w:val="Heading2"/>
      </w:pPr>
      <w:r>
        <w:t>8.2 Manuelles Auslösen</w:t>
      </w:r>
    </w:p>
    <w:p>
      <w:pPr>
        <w:pStyle w:val="Code"/>
        <w:shd w:val="clear" w:color="auto" w:fill="F2F2F2"/>
        <w:pBdr>
          <w:top w:val="single" w:sz="4" w:space="4" w:color="CCCCCC"/>
          <w:left w:val="single" w:sz="4" w:space="4" w:color="CCCCCC"/>
          <w:bottom w:val="single" w:sz="4" w:space="4" w:color="CCCCCC"/>
          <w:right w:val="single" w:sz="4" w:space="4" w:color="CCCCCC"/>
        </w:pBdr>
      </w:pPr>
      <w:r>
        <w:t>python scraping/zap-info/zap_info_scraper.py</w:t>
      </w:r>
    </w:p>
    <w:p>
      <w:pPr>
        <w:pStyle w:val="Heading2"/>
      </w:pPr>
      <w:r>
        <w:t>8.3 Datenmodell (zap_info)</w:t>
      </w:r>
    </w:p>
    <w:p>
      <w: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pPr>
        <w:pStyle w:val="Caption2"/>
        <w:spacing w:after="40"/>
      </w:pPr>
      <w:r>
        <w:t>Tabelle 13: Felder der Tabelle zap_info</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Feld</w:t>
            </w:r>
          </w:p>
        </w:tc>
        <w:tc>
          <w:tcPr>
            <w:tcW w:type="dxa" w:w="3135"/>
            <w:shd w:val="clear" w:color="auto" w:fill="2F5496"/>
          </w:tcPr>
          <w:p>
            <w:r/>
            <w:r>
              <w:rPr>
                <w:b/>
                <w:color w:val="FFFFFF"/>
                <w:sz w:val="19"/>
              </w:rPr>
              <w:t>Typ</w:t>
            </w:r>
          </w:p>
        </w:tc>
        <w:tc>
          <w:tcPr>
            <w:tcW w:type="dxa" w:w="3135"/>
            <w:shd w:val="clear" w:color="auto" w:fill="2F5496"/>
          </w:tcPr>
          <w:p>
            <w:r/>
            <w:r>
              <w:rPr>
                <w:b/>
                <w:color w:val="FFFFFF"/>
                <w:sz w:val="19"/>
              </w:rPr>
              <w:t>Bedeutung</w:t>
            </w:r>
          </w:p>
        </w:tc>
      </w:tr>
      <w:tr>
        <w:tc>
          <w:tcPr>
            <w:tcW w:type="dxa" w:w="3135"/>
          </w:tcPr>
          <w:p>
            <w:r/>
            <w:r>
              <w:rPr>
                <w:sz w:val="19"/>
              </w:rPr>
              <w:t>scope</w:t>
            </w:r>
          </w:p>
        </w:tc>
        <w:tc>
          <w:tcPr>
            <w:tcW w:type="dxa" w:w="3135"/>
          </w:tcPr>
          <w:p>
            <w:r/>
            <w:r>
              <w:rPr>
                <w:sz w:val="19"/>
              </w:rPr>
              <w:t>text</w:t>
            </w:r>
          </w:p>
        </w:tc>
        <w:tc>
          <w:tcPr>
            <w:tcW w:type="dxa" w:w="3135"/>
          </w:tcPr>
          <w:p>
            <w:r/>
            <w:r>
              <w:rPr>
                <w:sz w:val="19"/>
              </w:rPr>
              <w:t>'langgymi' | 'kurzgymi' | 'fms' | 'bms' | 'ims' | 'k_und_s'</w:t>
            </w:r>
          </w:p>
        </w:tc>
      </w:tr>
      <w:tr>
        <w:tc>
          <w:tcPr>
            <w:tcW w:type="dxa" w:w="3135"/>
          </w:tcPr>
          <w:p>
            <w:r/>
            <w:r>
              <w:rPr>
                <w:sz w:val="19"/>
              </w:rPr>
              <w:t>school_year</w:t>
            </w:r>
          </w:p>
        </w:tc>
        <w:tc>
          <w:tcPr>
            <w:tcW w:type="dxa" w:w="3135"/>
          </w:tcPr>
          <w:p>
            <w:r/>
            <w:r>
              <w:rPr>
                <w:sz w:val="19"/>
              </w:rPr>
              <w:t>text</w:t>
            </w:r>
          </w:p>
        </w:tc>
        <w:tc>
          <w:tcPr>
            <w:tcW w:type="dxa" w:w="3135"/>
          </w:tcPr>
          <w:p>
            <w:r/>
            <w:r>
              <w:rPr>
                <w:sz w:val="19"/>
              </w:rPr>
              <w:t>Schuljahr, z. B. '2026/27'</w:t>
            </w:r>
          </w:p>
        </w:tc>
      </w:tr>
      <w:tr>
        <w:tc>
          <w:tcPr>
            <w:tcW w:type="dxa" w:w="3135"/>
          </w:tcPr>
          <w:p>
            <w:r/>
            <w:r>
              <w:rPr>
                <w:sz w:val="19"/>
              </w:rPr>
              <w:t>registration_start / registration_end</w:t>
            </w:r>
          </w:p>
        </w:tc>
        <w:tc>
          <w:tcPr>
            <w:tcW w:type="dxa" w:w="3135"/>
          </w:tcPr>
          <w:p>
            <w:r/>
            <w:r>
              <w:rPr>
                <w:sz w:val="19"/>
              </w:rPr>
              <w:t>date</w:t>
            </w:r>
          </w:p>
        </w:tc>
        <w:tc>
          <w:tcPr>
            <w:tcW w:type="dxa" w:w="3135"/>
          </w:tcPr>
          <w:p>
            <w:r/>
            <w:r>
              <w:rPr>
                <w:sz w:val="19"/>
              </w:rPr>
              <w:t>Anmeldefenster für die ZAP</w:t>
            </w:r>
          </w:p>
        </w:tc>
      </w:tr>
      <w:tr>
        <w:tc>
          <w:tcPr>
            <w:tcW w:type="dxa" w:w="3135"/>
          </w:tcPr>
          <w:p>
            <w:r/>
            <w:r>
              <w:rPr>
                <w:sz w:val="19"/>
              </w:rPr>
              <w:t>exam_date</w:t>
            </w:r>
          </w:p>
        </w:tc>
        <w:tc>
          <w:tcPr>
            <w:tcW w:type="dxa" w:w="3135"/>
          </w:tcPr>
          <w:p>
            <w:r/>
            <w:r>
              <w:rPr>
                <w:sz w:val="19"/>
              </w:rPr>
              <w:t>date</w:t>
            </w:r>
          </w:p>
        </w:tc>
        <w:tc>
          <w:tcPr>
            <w:tcW w:type="dxa" w:w="3135"/>
          </w:tcPr>
          <w:p>
            <w:r/>
            <w:r>
              <w:rPr>
                <w:sz w:val="19"/>
              </w:rPr>
              <w:t>Prüfungsdatum</w:t>
            </w:r>
          </w:p>
        </w:tc>
      </w:tr>
      <w:tr>
        <w:tc>
          <w:tcPr>
            <w:tcW w:type="dxa" w:w="3135"/>
          </w:tcPr>
          <w:p>
            <w:r/>
            <w:r>
              <w:rPr>
                <w:sz w:val="19"/>
              </w:rPr>
              <w:t>exam_time_info</w:t>
            </w:r>
          </w:p>
        </w:tc>
        <w:tc>
          <w:tcPr>
            <w:tcW w:type="dxa" w:w="3135"/>
          </w:tcPr>
          <w:p>
            <w:r/>
            <w:r>
              <w:rPr>
                <w:sz w:val="19"/>
              </w:rPr>
              <w:t>text</w:t>
            </w:r>
          </w:p>
        </w:tc>
        <w:tc>
          <w:tcPr>
            <w:tcW w:type="dxa" w:w="3135"/>
          </w:tcPr>
          <w:p>
            <w:r/>
            <w:r>
              <w:rPr>
                <w:sz w:val="19"/>
              </w:rPr>
              <w:t>Freitext zur Prüfungsuhrzeit</w:t>
            </w:r>
          </w:p>
        </w:tc>
      </w:tr>
      <w:tr>
        <w:tc>
          <w:tcPr>
            <w:tcW w:type="dxa" w:w="3135"/>
          </w:tcPr>
          <w:p>
            <w:r/>
            <w:r>
              <w:rPr>
                <w:sz w:val="19"/>
              </w:rPr>
              <w:t>result_announcement_date</w:t>
            </w:r>
          </w:p>
        </w:tc>
        <w:tc>
          <w:tcPr>
            <w:tcW w:type="dxa" w:w="3135"/>
          </w:tcPr>
          <w:p>
            <w:r/>
            <w:r>
              <w:rPr>
                <w:sz w:val="19"/>
              </w:rPr>
              <w:t>date</w:t>
            </w:r>
          </w:p>
        </w:tc>
        <w:tc>
          <w:tcPr>
            <w:tcW w:type="dxa" w:w="3135"/>
          </w:tcPr>
          <w:p>
            <w:r/>
            <w:r>
              <w:rPr>
                <w:sz w:val="19"/>
              </w:rPr>
              <w:t>Datum der Ergebnisverkündung</w:t>
            </w:r>
          </w:p>
        </w:tc>
      </w:tr>
      <w:tr>
        <w:tc>
          <w:tcPr>
            <w:tcW w:type="dxa" w:w="3135"/>
          </w:tcPr>
          <w:p>
            <w:r/>
            <w:r>
              <w:rPr>
                <w:sz w:val="19"/>
              </w:rPr>
              <w:t>school_start_date</w:t>
            </w:r>
          </w:p>
        </w:tc>
        <w:tc>
          <w:tcPr>
            <w:tcW w:type="dxa" w:w="3135"/>
          </w:tcPr>
          <w:p>
            <w:r/>
            <w:r>
              <w:rPr>
                <w:sz w:val="19"/>
              </w:rPr>
              <w:t>date</w:t>
            </w:r>
          </w:p>
        </w:tc>
        <w:tc>
          <w:tcPr>
            <w:tcW w:type="dxa" w:w="3135"/>
          </w:tcPr>
          <w:p>
            <w:r/>
            <w:r>
              <w:rPr>
                <w:sz w:val="19"/>
              </w:rPr>
              <w:t>Schulstart des betroffenen Jahrgangs</w:t>
            </w:r>
          </w:p>
        </w:tc>
      </w:tr>
      <w:tr>
        <w:tc>
          <w:tcPr>
            <w:tcW w:type="dxa" w:w="3135"/>
          </w:tcPr>
          <w:p>
            <w:r/>
            <w:r>
              <w:rPr>
                <w:sz w:val="19"/>
              </w:rPr>
              <w:t>exam_subjects / exam_subjects_en</w:t>
            </w:r>
          </w:p>
        </w:tc>
        <w:tc>
          <w:tcPr>
            <w:tcW w:type="dxa" w:w="3135"/>
          </w:tcPr>
          <w:p>
            <w:r/>
            <w:r>
              <w:rPr>
                <w:sz w:val="19"/>
              </w:rPr>
              <w:t>jsonb</w:t>
            </w:r>
          </w:p>
        </w:tc>
        <w:tc>
          <w:tcPr>
            <w:tcW w:type="dxa" w:w="3135"/>
          </w:tcPr>
          <w:p>
            <w:r/>
            <w:r>
              <w:rPr>
                <w:sz w:val="19"/>
              </w:rPr>
              <w:t>Array von Prüfungsfächern mit Dauer, DE/EN getrennt</w:t>
            </w:r>
          </w:p>
        </w:tc>
      </w:tr>
      <w:tr>
        <w:tc>
          <w:tcPr>
            <w:tcW w:type="dxa" w:w="3135"/>
          </w:tcPr>
          <w:p>
            <w:r/>
            <w:r>
              <w:rPr>
                <w:sz w:val="19"/>
              </w:rPr>
              <w:t>notes / notes_en</w:t>
            </w:r>
          </w:p>
        </w:tc>
        <w:tc>
          <w:tcPr>
            <w:tcW w:type="dxa" w:w="3135"/>
          </w:tcPr>
          <w:p>
            <w:r/>
            <w:r>
              <w:rPr>
                <w:sz w:val="19"/>
              </w:rPr>
              <w:t>text</w:t>
            </w:r>
          </w:p>
        </w:tc>
        <w:tc>
          <w:tcPr>
            <w:tcW w:type="dxa" w:w="3135"/>
          </w:tcPr>
          <w:p>
            <w:r/>
            <w:r>
              <w:rPr>
                <w:sz w:val="19"/>
              </w:rPr>
              <w:t>Freitext-Anmerkungen, DE/EN getrennt</w:t>
            </w:r>
          </w:p>
        </w:tc>
      </w:tr>
      <w:tr>
        <w:tc>
          <w:tcPr>
            <w:tcW w:type="dxa" w:w="3135"/>
          </w:tcPr>
          <w:p>
            <w:r/>
            <w:r>
              <w:rPr>
                <w:sz w:val="19"/>
              </w:rPr>
              <w:t>source_url</w:t>
            </w:r>
          </w:p>
        </w:tc>
        <w:tc>
          <w:tcPr>
            <w:tcW w:type="dxa" w:w="3135"/>
          </w:tcPr>
          <w:p>
            <w:r/>
            <w:r>
              <w:rPr>
                <w:sz w:val="19"/>
              </w:rPr>
              <w:t>text</w:t>
            </w:r>
          </w:p>
        </w:tc>
        <w:tc>
          <w:tcPr>
            <w:tcW w:type="dxa" w:w="3135"/>
          </w:tcPr>
          <w:p>
            <w:r/>
            <w:r>
              <w:rPr>
                <w:sz w:val="19"/>
              </w:rPr>
              <w:t>Quelle auf zh.ch, aus der der Wert stammt</w:t>
            </w:r>
          </w:p>
        </w:tc>
      </w:tr>
      <w:tr>
        <w:tc>
          <w:tcPr>
            <w:tcW w:type="dxa" w:w="3135"/>
          </w:tcPr>
          <w:p>
            <w:r/>
            <w:r>
              <w:rPr>
                <w:sz w:val="19"/>
              </w:rPr>
              <w:t>last_verified_at</w:t>
            </w:r>
          </w:p>
        </w:tc>
        <w:tc>
          <w:tcPr>
            <w:tcW w:type="dxa" w:w="3135"/>
          </w:tcPr>
          <w:p>
            <w:r/>
            <w:r>
              <w:rPr>
                <w:sz w:val="19"/>
              </w:rPr>
              <w:t>timestamptz</w:t>
            </w:r>
          </w:p>
        </w:tc>
        <w:tc>
          <w:tcPr>
            <w:tcW w:type="dxa" w:w="3135"/>
          </w:tcPr>
          <w:p>
            <w:r/>
            <w:r>
              <w:rPr>
                <w:sz w:val="19"/>
              </w:rPr>
              <w:t>Letzte Verifikation (durch Scraper oder manuell)</w:t>
            </w:r>
          </w:p>
        </w:tc>
      </w:tr>
      <w:tr>
        <w:tc>
          <w:tcPr>
            <w:tcW w:type="dxa" w:w="3135"/>
          </w:tcPr>
          <w:p>
            <w:r/>
            <w:r>
              <w:rPr>
                <w:sz w:val="19"/>
              </w:rPr>
              <w:t>updated_by</w:t>
            </w:r>
          </w:p>
        </w:tc>
        <w:tc>
          <w:tcPr>
            <w:tcW w:type="dxa" w:w="3135"/>
          </w:tcPr>
          <w:p>
            <w:r/>
            <w:r>
              <w:rPr>
                <w:sz w:val="19"/>
              </w:rPr>
              <w:t>text</w:t>
            </w:r>
          </w:p>
        </w:tc>
        <w:tc>
          <w:tcPr>
            <w:tcW w:type="dxa" w:w="3135"/>
          </w:tcPr>
          <w:p>
            <w:r/>
            <w:r>
              <w:rPr>
                <w:sz w:val="19"/>
              </w:rPr>
              <w:t>'manual' oder 'scraper:zh.ch' (siehe 8.1)</w:t>
            </w:r>
          </w:p>
        </w:tc>
      </w:tr>
    </w:tbl>
    <w:p>
      <w:pPr>
        <w:spacing w:after="200"/>
      </w:pPr>
    </w:p>
    <w:p>
      <w:pPr>
        <w:pStyle w:val="Heading1"/>
      </w:pPr>
      <w:r>
        <w:t>9. Validierung &amp; State-Management</w:t>
      </w:r>
    </w:p>
    <w:p>
      <w:pPr>
        <w:pStyle w:val="Heading2"/>
      </w:pPr>
      <w:r>
        <w:t>9.1 Zod – Laufzeitvalidierung</w:t>
      </w:r>
    </w:p>
    <w:p>
      <w: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pPr>
        <w:pStyle w:val="Caption2"/>
        <w:spacing w:after="40"/>
      </w:pPr>
      <w:r>
        <w:t>Tabelle 14: Zod-Validierungsschemas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Schema-Datei</w:t>
            </w:r>
          </w:p>
        </w:tc>
        <w:tc>
          <w:tcPr>
            <w:tcW w:type="dxa" w:w="3135"/>
            <w:shd w:val="clear" w:color="auto" w:fill="2F5496"/>
          </w:tcPr>
          <w:p>
            <w:r/>
            <w:r>
              <w:rPr>
                <w:b/>
                <w:color w:val="FFFFFF"/>
                <w:sz w:val="19"/>
              </w:rPr>
              <w:t>Validiert Tabelle</w:t>
            </w:r>
          </w:p>
        </w:tc>
        <w:tc>
          <w:tcPr>
            <w:tcW w:type="dxa" w:w="3135"/>
            <w:shd w:val="clear" w:color="auto" w:fill="2F5496"/>
          </w:tcPr>
          <w:p>
            <w:r/>
            <w:r>
              <w:rPr>
                <w:b/>
                <w:color w:val="FFFFFF"/>
                <w:sz w:val="19"/>
              </w:rPr>
              <w:t>Wichtige Exporte</w:t>
            </w:r>
          </w:p>
        </w:tc>
      </w:tr>
      <w:tr>
        <w:tc>
          <w:tcPr>
            <w:tcW w:type="dxa" w:w="3135"/>
          </w:tcPr>
          <w:p>
            <w:r/>
            <w:r>
              <w:rPr>
                <w:sz w:val="19"/>
              </w:rPr>
              <w:t>schemas/gymiProviderSchema.ts</w:t>
            </w:r>
          </w:p>
        </w:tc>
        <w:tc>
          <w:tcPr>
            <w:tcW w:type="dxa" w:w="3135"/>
          </w:tcPr>
          <w:p>
            <w:r/>
            <w:r>
              <w:rPr>
                <w:sz w:val="19"/>
              </w:rPr>
              <w:t>GymiProviders</w:t>
            </w:r>
          </w:p>
        </w:tc>
        <w:tc>
          <w:tcPr>
            <w:tcW w:type="dxa" w:w="3135"/>
          </w:tcPr>
          <w:p>
            <w:r/>
            <w:r>
              <w:rPr>
                <w:sz w:val="19"/>
              </w:rPr>
              <w:t>GymiProviderSchema, parseGymiProvider(s), getPreisKategorie() (abgeleitete Preiskategorie, kein DB-Feld)</w:t>
            </w:r>
          </w:p>
        </w:tc>
      </w:tr>
      <w:tr>
        <w:tc>
          <w:tcPr>
            <w:tcW w:type="dxa" w:w="3135"/>
          </w:tcPr>
          <w:p>
            <w:r/>
            <w:r>
              <w:rPr>
                <w:sz w:val="19"/>
              </w:rPr>
              <w:t>schemas/courseSchema.ts</w:t>
            </w:r>
          </w:p>
        </w:tc>
        <w:tc>
          <w:tcPr>
            <w:tcW w:type="dxa" w:w="3135"/>
          </w:tcPr>
          <w:p>
            <w:r/>
            <w:r>
              <w:rPr>
                <w:sz w:val="19"/>
              </w:rPr>
              <w:t>courses</w:t>
            </w:r>
          </w:p>
        </w:tc>
        <w:tc>
          <w:tcPr>
            <w:tcW w:type="dxa" w:w="3135"/>
          </w:tcPr>
          <w:p>
            <w:r/>
            <w:r>
              <w:rPr>
                <w:sz w:val="19"/>
              </w:rPr>
              <w:t>CourseSchema (inkl. Enum-Constraints für course_type/verfügbarkeit/scraper_method), parseCourse(s)</w:t>
            </w:r>
          </w:p>
        </w:tc>
      </w:tr>
      <w:tr>
        <w:tc>
          <w:tcPr>
            <w:tcW w:type="dxa" w:w="3135"/>
          </w:tcPr>
          <w:p>
            <w:r/>
            <w:r>
              <w:rPr>
                <w:sz w:val="19"/>
              </w:rPr>
              <w:t>schemas/courseDetailSchema.ts</w:t>
            </w:r>
          </w:p>
        </w:tc>
        <w:tc>
          <w:tcPr>
            <w:tcW w:type="dxa" w:w="3135"/>
          </w:tcPr>
          <w:p>
            <w:r/>
            <w:r>
              <w:rPr>
                <w:sz w:val="19"/>
              </w:rPr>
              <w:t>CourseDetails</w:t>
            </w:r>
          </w:p>
        </w:tc>
        <w:tc>
          <w:tcPr>
            <w:tcW w:type="dxa" w:w="3135"/>
          </w:tcPr>
          <w:p>
            <w:r/>
            <w:r>
              <w:rPr>
                <w:sz w:val="19"/>
              </w:rPr>
              <w:t>CourseDetailSchema, parseCourseDetail(s)</w:t>
            </w:r>
          </w:p>
        </w:tc>
      </w:tr>
      <w:tr>
        <w:tc>
          <w:tcPr>
            <w:tcW w:type="dxa" w:w="3135"/>
          </w:tcPr>
          <w:p>
            <w:r/>
            <w:r>
              <w:rPr>
                <w:sz w:val="19"/>
              </w:rPr>
              <w:t>schemas/zapInfoSchema.ts</w:t>
            </w:r>
          </w:p>
        </w:tc>
        <w:tc>
          <w:tcPr>
            <w:tcW w:type="dxa" w:w="3135"/>
          </w:tcPr>
          <w:p>
            <w:r/>
            <w:r>
              <w:rPr>
                <w:sz w:val="19"/>
              </w:rPr>
              <w:t>zap_info</w:t>
            </w:r>
          </w:p>
        </w:tc>
        <w:tc>
          <w:tcPr>
            <w:tcW w:type="dxa" w:w="3135"/>
          </w:tcPr>
          <w:p>
            <w:r/>
            <w:r>
              <w:rPr>
                <w:sz w:val="19"/>
              </w:rPr>
              <w:t>ZapInfoSchema, ZapInfoScopeSchema, ExamSubjectSchema, parseZapInfos</w:t>
            </w:r>
          </w:p>
        </w:tc>
      </w:tr>
    </w:tbl>
    <w:p>
      <w:pPr>
        <w:spacing w:after="200"/>
      </w:pPr>
    </w:p>
    <w:p>
      <w:r>
        <w:t>Die *List-Varianten (z. B. parseGymiProviders) verwenden safeParse statt parse und verwerfen ungültige Einzelzeilen nur mit einer console.warn-Meldung, statt die ganze Seite abstürzen zu lassen. Das ist eine bewusste Fehlertoleranz: Ein einzelner fehlerhafter Scraper-Datensatz soll nie die gesamte Vergleichsseite für alle Nutzer:innen unbenutzbar machen.</w:t>
      </w:r>
    </w:p>
    <w:p>
      <w:r>
        <w:drawing>
          <wp:inline xmlns:a="http://schemas.openxmlformats.org/drawingml/2006/main" xmlns:pic="http://schemas.openxmlformats.org/drawingml/2006/picture">
            <wp:extent cx="5580000" cy="4500676"/>
            <wp:docPr id="21" name="Picture 21"/>
            <wp:cNvGraphicFramePr>
              <a:graphicFrameLocks noChangeAspect="1"/>
            </wp:cNvGraphicFramePr>
            <a:graphic>
              <a:graphicData uri="http://schemas.openxmlformats.org/drawingml/2006/picture">
                <pic:pic>
                  <pic:nvPicPr>
                    <pic:cNvPr id="0" name="fig1-gymiproviderschema.png"/>
                    <pic:cNvPicPr/>
                  </pic:nvPicPr>
                  <pic:blipFill>
                    <a:blip r:embed="rId30"/>
                    <a:stretch>
                      <a:fillRect/>
                    </a:stretch>
                  </pic:blipFill>
                  <pic:spPr>
                    <a:xfrm>
                      <a:off x="0" y="0"/>
                      <a:ext cx="5580000" cy="4500676"/>
                    </a:xfrm>
                    <a:prstGeom prst="rect"/>
                  </pic:spPr>
                </pic:pic>
              </a:graphicData>
            </a:graphic>
          </wp:inline>
        </w:drawing>
      </w:r>
    </w:p>
    <w:p>
      <w:pPr>
        <w:pStyle w:val="Caption2"/>
      </w:pPr>
      <w:r>
        <w:t>Abbildung 21: Ausschnitt aus schemas/gymiProviderSchema.ts – Definition von GymiProviderSchema (Quelle: BT Fig. 1).</w:t>
      </w:r>
    </w:p>
    <w:p>
      <w:r>
        <w:drawing>
          <wp:inline xmlns:a="http://schemas.openxmlformats.org/drawingml/2006/main" xmlns:pic="http://schemas.openxmlformats.org/drawingml/2006/picture">
            <wp:extent cx="5580000" cy="3369640"/>
            <wp:docPr id="22" name="Picture 22"/>
            <wp:cNvGraphicFramePr>
              <a:graphicFrameLocks noChangeAspect="1"/>
            </wp:cNvGraphicFramePr>
            <a:graphic>
              <a:graphicData uri="http://schemas.openxmlformats.org/drawingml/2006/picture">
                <pic:pic>
                  <pic:nvPicPr>
                    <pic:cNvPr id="0" name="fig2-courseschema-enum.png"/>
                    <pic:cNvPicPr/>
                  </pic:nvPicPr>
                  <pic:blipFill>
                    <a:blip r:embed="rId31"/>
                    <a:stretch>
                      <a:fillRect/>
                    </a:stretch>
                  </pic:blipFill>
                  <pic:spPr>
                    <a:xfrm>
                      <a:off x="0" y="0"/>
                      <a:ext cx="5580000" cy="3369640"/>
                    </a:xfrm>
                    <a:prstGeom prst="rect"/>
                  </pic:spPr>
                </pic:pic>
              </a:graphicData>
            </a:graphic>
          </wp:inline>
        </w:drawing>
      </w:r>
    </w:p>
    <w:p>
      <w:pPr>
        <w:pStyle w:val="Caption2"/>
      </w:pPr>
      <w:r>
        <w:t>Abbildung 22: Ausschnitt aus schemas/courseSchema.ts – Definition von CourseSchema mit Enum-Constraints (Quelle: BT Fig. 2).</w:t>
      </w:r>
    </w:p>
    <w:p>
      <w:r>
        <w:drawing>
          <wp:inline xmlns:a="http://schemas.openxmlformats.org/drawingml/2006/main" xmlns:pic="http://schemas.openxmlformats.org/drawingml/2006/picture">
            <wp:extent cx="5580000" cy="2839695"/>
            <wp:docPr id="23" name="Picture 23"/>
            <wp:cNvGraphicFramePr>
              <a:graphicFrameLocks noChangeAspect="1"/>
            </wp:cNvGraphicFramePr>
            <a:graphic>
              <a:graphicData uri="http://schemas.openxmlformats.org/drawingml/2006/picture">
                <pic:pic>
                  <pic:nvPicPr>
                    <pic:cNvPr id="0" name="fig3-parsegymiproviders.png"/>
                    <pic:cNvPicPr/>
                  </pic:nvPicPr>
                  <pic:blipFill>
                    <a:blip r:embed="rId32"/>
                    <a:stretch>
                      <a:fillRect/>
                    </a:stretch>
                  </pic:blipFill>
                  <pic:spPr>
                    <a:xfrm>
                      <a:off x="0" y="0"/>
                      <a:ext cx="5580000" cy="2839695"/>
                    </a:xfrm>
                    <a:prstGeom prst="rect"/>
                  </pic:spPr>
                </pic:pic>
              </a:graphicData>
            </a:graphic>
          </wp:inline>
        </w:drawing>
      </w:r>
    </w:p>
    <w:p>
      <w:pPr>
        <w:pStyle w:val="Caption2"/>
      </w:pPr>
      <w:r>
        <w:t>Abbildung 23: Ausschnitt aus schemas/gymiProviderSchema.ts – fehlertolerante Variante parseGymiProviders (Quelle: BT Fig. 3).</w:t>
      </w:r>
    </w:p>
    <w:p>
      <w:r>
        <w:drawing>
          <wp:inline xmlns:a="http://schemas.openxmlformats.org/drawingml/2006/main" xmlns:pic="http://schemas.openxmlformats.org/drawingml/2006/picture">
            <wp:extent cx="5580000" cy="1863480"/>
            <wp:docPr id="24" name="Picture 24"/>
            <wp:cNvGraphicFramePr>
              <a:graphicFrameLocks noChangeAspect="1"/>
            </wp:cNvGraphicFramePr>
            <a:graphic>
              <a:graphicData uri="http://schemas.openxmlformats.org/drawingml/2006/picture">
                <pic:pic>
                  <pic:nvPicPr>
                    <pic:cNvPr id="0" name="fig4-parsegymiprovider-strict.png"/>
                    <pic:cNvPicPr/>
                  </pic:nvPicPr>
                  <pic:blipFill>
                    <a:blip r:embed="rId33"/>
                    <a:stretch>
                      <a:fillRect/>
                    </a:stretch>
                  </pic:blipFill>
                  <pic:spPr>
                    <a:xfrm>
                      <a:off x="0" y="0"/>
                      <a:ext cx="5580000" cy="1863480"/>
                    </a:xfrm>
                    <a:prstGeom prst="rect"/>
                  </pic:spPr>
                </pic:pic>
              </a:graphicData>
            </a:graphic>
          </wp:inline>
        </w:drawing>
      </w:r>
    </w:p>
    <w:p>
      <w:pPr>
        <w:pStyle w:val="Caption2"/>
      </w:pPr>
      <w:r>
        <w:t>Abbildung 24: Ausschnitt aus schemas/gymiProviderSchema.ts – strikte Variante parseGymiProvider, die bei Validierungsfehlern eine Exception wirft (Quelle: BT Fig. 4).</w:t>
      </w:r>
    </w:p>
    <w:p>
      <w:r>
        <w:drawing>
          <wp:inline xmlns:a="http://schemas.openxmlformats.org/drawingml/2006/main" xmlns:pic="http://schemas.openxmlformats.org/drawingml/2006/picture">
            <wp:extent cx="5580000" cy="2920525"/>
            <wp:docPr id="25" name="Picture 25"/>
            <wp:cNvGraphicFramePr>
              <a:graphicFrameLocks noChangeAspect="1"/>
            </wp:cNvGraphicFramePr>
            <a:graphic>
              <a:graphicData uri="http://schemas.openxmlformats.org/drawingml/2006/picture">
                <pic:pic>
                  <pic:nvPicPr>
                    <pic:cNvPr id="0" name="fig5-getpreiskategorie.png"/>
                    <pic:cNvPicPr/>
                  </pic:nvPicPr>
                  <pic:blipFill>
                    <a:blip r:embed="rId34"/>
                    <a:stretch>
                      <a:fillRect/>
                    </a:stretch>
                  </pic:blipFill>
                  <pic:spPr>
                    <a:xfrm>
                      <a:off x="0" y="0"/>
                      <a:ext cx="5580000" cy="2920525"/>
                    </a:xfrm>
                    <a:prstGeom prst="rect"/>
                  </pic:spPr>
                </pic:pic>
              </a:graphicData>
            </a:graphic>
          </wp:inline>
        </w:drawing>
      </w:r>
    </w:p>
    <w:p>
      <w:pPr>
        <w:pStyle w:val="Caption2"/>
      </w:pPr>
      <w:r>
        <w:t>Abbildung 25: Ausschnitt aus schemas/gymiProviderSchema.ts – dynamische Preiskategorisierung getPreisKategorie (Quelle: BT Fig. 5).</w:t>
      </w:r>
    </w:p>
    <w:p>
      <w:pPr>
        <w:pStyle w:val="Heading2"/>
      </w:pPr>
      <w:r>
        <w:t>9.2 Zustand – Client-seitiger State</w:t>
      </w:r>
    </w:p>
    <w:p>
      <w:r>
        <w:t>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über Zustands persist-Middleware:</w:t>
      </w:r>
    </w:p>
    <w:p>
      <w:pPr>
        <w:pStyle w:val="Caption2"/>
        <w:spacing w:after="40"/>
      </w:pPr>
      <w:r>
        <w:t>Tabelle 15: Zustand-Stores (Client-State)</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Store</w:t>
            </w:r>
          </w:p>
        </w:tc>
        <w:tc>
          <w:tcPr>
            <w:tcW w:type="dxa" w:w="3135"/>
            <w:shd w:val="clear" w:color="auto" w:fill="2F5496"/>
          </w:tcPr>
          <w:p>
            <w:r/>
            <w:r>
              <w:rPr>
                <w:b/>
                <w:color w:val="FFFFFF"/>
                <w:sz w:val="19"/>
              </w:rPr>
              <w:t>Hält</w:t>
            </w:r>
          </w:p>
        </w:tc>
        <w:tc>
          <w:tcPr>
            <w:tcW w:type="dxa" w:w="3135"/>
            <w:shd w:val="clear" w:color="auto" w:fill="2F5496"/>
          </w:tcPr>
          <w:p>
            <w:r/>
            <w:r>
              <w:rPr>
                <w:b/>
                <w:color w:val="FFFFFF"/>
                <w:sz w:val="19"/>
              </w:rPr>
              <w:t>localStorage-Key</w:t>
            </w:r>
          </w:p>
        </w:tc>
      </w:tr>
      <w:tr>
        <w:tc>
          <w:tcPr>
            <w:tcW w:type="dxa" w:w="3135"/>
          </w:tcPr>
          <w:p>
            <w:r/>
            <w:r>
              <w:rPr>
                <w:sz w:val="19"/>
              </w:rPr>
              <w:t>stores/compareStore.ts</w:t>
            </w:r>
          </w:p>
        </w:tc>
        <w:tc>
          <w:tcPr>
            <w:tcW w:type="dxa" w:w="3135"/>
          </w:tcPr>
          <w:p>
            <w:r/>
            <w:r>
              <w:rPr>
                <w:sz w:val="19"/>
              </w:rPr>
              <w:t>selectedProviderIds: string[] (max. 3, per toggleProvider durchgesetzt)</w:t>
            </w:r>
          </w:p>
        </w:tc>
        <w:tc>
          <w:tcPr>
            <w:tcW w:type="dxa" w:w="3135"/>
          </w:tcPr>
          <w:p>
            <w:r/>
            <w:r>
              <w:rPr>
                <w:sz w:val="19"/>
              </w:rPr>
              <w:t>gymi-compare-store</w:t>
            </w:r>
          </w:p>
        </w:tc>
      </w:tr>
      <w:tr>
        <w:tc>
          <w:tcPr>
            <w:tcW w:type="dxa" w:w="3135"/>
          </w:tcPr>
          <w:p>
            <w:r/>
            <w:r>
              <w:rPr>
                <w:sz w:val="19"/>
              </w:rPr>
              <w:t>stores/uiPreferencesStore.ts</w:t>
            </w:r>
          </w:p>
        </w:tc>
        <w:tc>
          <w:tcPr>
            <w:tcW w:type="dxa" w:w="3135"/>
          </w:tcPr>
          <w:p>
            <w:r/>
            <w:r>
              <w:rPr>
                <w:sz w:val="19"/>
              </w:rPr>
              <w:t>sort ('score'|'price'|'name'), view ('grid'|'list')</w:t>
            </w:r>
          </w:p>
        </w:tc>
        <w:tc>
          <w:tcPr>
            <w:tcW w:type="dxa" w:w="3135"/>
          </w:tcPr>
          <w:p>
            <w:r/>
            <w:r>
              <w:rPr>
                <w:sz w:val="19"/>
              </w:rPr>
              <w:t>gymi-ui-preferences</w:t>
            </w:r>
          </w:p>
        </w:tc>
      </w:tr>
    </w:tbl>
    <w:p>
      <w:pPr>
        <w:spacing w:after="200"/>
      </w:pPr>
    </w:p>
    <w:p>
      <w: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pPr>
        <w:pStyle w:val="Code"/>
        <w:shd w:val="clear" w:color="auto" w:fill="F2F2F2"/>
        <w:pBdr>
          <w:top w:val="single" w:sz="4" w:space="4" w:color="CCCCCC"/>
          <w:left w:val="single" w:sz="4" w:space="4" w:color="CCCCCC"/>
          <w:bottom w:val="single" w:sz="4" w:space="4" w:color="CCCCCC"/>
          <w:right w:val="single" w:sz="4" w:space="4" w:color="CCCCCC"/>
        </w:pBdr>
      </w:pPr>
      <w:r>
        <w:t>// stores/compareStore.ts (vereinfacht)</w:t>
      </w:r>
    </w:p>
    <w:p>
      <w:pPr>
        <w:pStyle w:val="Code"/>
        <w:shd w:val="clear" w:color="auto" w:fill="F2F2F2"/>
        <w:pBdr>
          <w:top w:val="single" w:sz="4" w:space="4" w:color="CCCCCC"/>
          <w:left w:val="single" w:sz="4" w:space="4" w:color="CCCCCC"/>
          <w:bottom w:val="single" w:sz="4" w:space="4" w:color="CCCCCC"/>
          <w:right w:val="single" w:sz="4" w:space="4" w:color="CCCCCC"/>
        </w:pBdr>
      </w:pPr>
      <w:r>
        <w:t>export const useCompareStore = create(</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persist&lt;CompareState&gt;(</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(set, get) =&gt;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selectedProviderIds: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toggleProvider: (id) =&gt; { /* max. 3, sonst ignoriert */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 name: 'gymi-compare-store', partialize: (s) =&gt; ({ selectedProviderIds: s.selectedProviderIds })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Heading1"/>
      </w:pPr>
      <w:r>
        <w:t>10. Nutzwertanalyse (MCDA-Scoring)</w:t>
      </w:r>
    </w:p>
    <w:p>
      <w: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pPr>
        <w:pStyle w:val="Heading2"/>
      </w:pPr>
      <w:r>
        <w:t>10.1 Die sechs Kriterien und 16 Indikatoren</w:t>
      </w:r>
    </w:p>
    <w:p>
      <w:r>
        <w:t>Jedes der sechs Kriterien wird aus einem oder mehreren konkreten Datenpunkten berechnet, die alle direkt aus GymiProviders, CourseDetails oder courses stammen. Insgesamt fliessen 16 Einzelindikatoren ein:</w:t>
      </w:r>
    </w:p>
    <w:p>
      <w:pPr>
        <w:pStyle w:val="Caption2"/>
        <w:spacing w:after="40"/>
      </w:pPr>
      <w:r>
        <w:t>Tabelle 16: Bewertungskriterien und Indikatoren</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Kriterium</w:t>
            </w:r>
          </w:p>
        </w:tc>
        <w:tc>
          <w:tcPr>
            <w:tcW w:type="dxa" w:w="2351"/>
            <w:shd w:val="clear" w:color="auto" w:fill="2F5496"/>
          </w:tcPr>
          <w:p>
            <w:r/>
            <w:r>
              <w:rPr>
                <w:b/>
                <w:color w:val="FFFFFF"/>
                <w:sz w:val="19"/>
              </w:rPr>
              <w:t>Default-Gewicht</w:t>
            </w:r>
          </w:p>
        </w:tc>
        <w:tc>
          <w:tcPr>
            <w:tcW w:type="dxa" w:w="2351"/>
            <w:shd w:val="clear" w:color="auto" w:fill="2F5496"/>
          </w:tcPr>
          <w:p>
            <w:r/>
            <w:r>
              <w:rPr>
                <w:b/>
                <w:color w:val="FFFFFF"/>
                <w:sz w:val="19"/>
              </w:rPr>
              <w:t>Indikatoren (Anzahl)</w:t>
            </w:r>
          </w:p>
        </w:tc>
        <w:tc>
          <w:tcPr>
            <w:tcW w:type="dxa" w:w="2351"/>
            <w:shd w:val="clear" w:color="auto" w:fill="2F5496"/>
          </w:tcPr>
          <w:p>
            <w:r/>
            <w:r>
              <w:rPr>
                <w:b/>
                <w:color w:val="FFFFFF"/>
                <w:sz w:val="19"/>
              </w:rPr>
              <w:t>Datenquelle</w:t>
            </w:r>
          </w:p>
        </w:tc>
      </w:tr>
      <w:tr>
        <w:tc>
          <w:tcPr>
            <w:tcW w:type="dxa" w:w="2351"/>
          </w:tcPr>
          <w:p>
            <w:r/>
            <w:r>
              <w:rPr>
                <w:sz w:val="19"/>
              </w:rPr>
              <w:t>Preis (price)</w:t>
            </w:r>
          </w:p>
        </w:tc>
        <w:tc>
          <w:tcPr>
            <w:tcW w:type="dxa" w:w="2351"/>
          </w:tcPr>
          <w:p>
            <w:r/>
            <w:r>
              <w:rPr>
                <w:sz w:val="19"/>
              </w:rPr>
              <w:t>17 %</w:t>
            </w:r>
          </w:p>
        </w:tc>
        <w:tc>
          <w:tcPr>
            <w:tcW w:type="dxa" w:w="2351"/>
          </w:tcPr>
          <w:p>
            <w:r/>
            <w:r>
              <w:rPr>
                <w:sz w:val="19"/>
              </w:rPr>
              <w:t>1: normalisierter Preis im sichtbaren Preisband</w:t>
            </w:r>
          </w:p>
        </w:tc>
        <w:tc>
          <w:tcPr>
            <w:tcW w:type="dxa" w:w="2351"/>
          </w:tcPr>
          <w:p>
            <w:r/>
            <w:r>
              <w:rPr>
                <w:sz w:val="19"/>
              </w:rPr>
              <w:t>GymiProviders."Preis Langzeit Kurs" / "Preis Intensiver Kurs"</w:t>
            </w:r>
          </w:p>
        </w:tc>
      </w:tr>
      <w:tr>
        <w:tc>
          <w:tcPr>
            <w:tcW w:type="dxa" w:w="2351"/>
          </w:tcPr>
          <w:p>
            <w:r/>
            <w:r>
              <w:rPr>
                <w:sz w:val="19"/>
              </w:rPr>
              <w:t>Qualität (quality)</w:t>
            </w:r>
          </w:p>
        </w:tc>
        <w:tc>
          <w:tcPr>
            <w:tcW w:type="dxa" w:w="2351"/>
          </w:tcPr>
          <w:p>
            <w:r/>
            <w:r>
              <w:rPr>
                <w:sz w:val="19"/>
              </w:rPr>
              <w:t>17 %</w:t>
            </w:r>
          </w:p>
        </w:tc>
        <w:tc>
          <w:tcPr>
            <w:tcW w:type="dxa" w:w="2351"/>
          </w:tcPr>
          <w:p>
            <w:r/>
            <w:r>
              <w:rPr>
                <w:sz w:val="19"/>
              </w:rPr>
              <w:t>3: kleine Klassen (≤ 8), eigene Lernunterlagen, Beratungsgespräch</w:t>
            </w:r>
          </w:p>
        </w:tc>
        <w:tc>
          <w:tcPr>
            <w:tcW w:type="dxa" w:w="2351"/>
          </w:tcPr>
          <w:p>
            <w:r/>
            <w:r>
              <w:rPr>
                <w:sz w:val="19"/>
              </w:rPr>
              <w:t>GymiProviders."Maximale Anzahl der Teilnehmer", CourseDetails</w:t>
            </w:r>
          </w:p>
        </w:tc>
      </w:tr>
      <w:tr>
        <w:tc>
          <w:tcPr>
            <w:tcW w:type="dxa" w:w="2351"/>
          </w:tcPr>
          <w:p>
            <w:r/>
            <w:r>
              <w:rPr>
                <w:sz w:val="19"/>
              </w:rPr>
              <w:t>Standort (location)</w:t>
            </w:r>
          </w:p>
        </w:tc>
        <w:tc>
          <w:tcPr>
            <w:tcW w:type="dxa" w:w="2351"/>
          </w:tcPr>
          <w:p>
            <w:r/>
            <w:r>
              <w:rPr>
                <w:sz w:val="19"/>
              </w:rPr>
              <w:t>16 %</w:t>
            </w:r>
          </w:p>
        </w:tc>
        <w:tc>
          <w:tcPr>
            <w:tcW w:type="dxa" w:w="2351"/>
          </w:tcPr>
          <w:p>
            <w:r/>
            <w:r>
              <w:rPr>
                <w:sz w:val="19"/>
              </w:rPr>
              <w:t>1: Anzahl unique Standorte / 5</w:t>
            </w:r>
          </w:p>
        </w:tc>
        <w:tc>
          <w:tcPr>
            <w:tcW w:type="dxa" w:w="2351"/>
          </w:tcPr>
          <w:p>
            <w:r/>
            <w:r>
              <w:rPr>
                <w:sz w:val="19"/>
              </w:rPr>
              <w:t>courses.location (aggregiert)</w:t>
            </w:r>
          </w:p>
        </w:tc>
      </w:tr>
      <w:tr>
        <w:tc>
          <w:tcPr>
            <w:tcW w:type="dxa" w:w="2351"/>
          </w:tcPr>
          <w:p>
            <w:r/>
            <w:r>
              <w:rPr>
                <w:sz w:val="19"/>
              </w:rPr>
              <w:t>Flexibilität (flex)</w:t>
            </w:r>
          </w:p>
        </w:tc>
        <w:tc>
          <w:tcPr>
            <w:tcW w:type="dxa" w:w="2351"/>
          </w:tcPr>
          <w:p>
            <w:r/>
            <w:r>
              <w:rPr>
                <w:sz w:val="19"/>
              </w:rPr>
              <w:t>17 %</w:t>
            </w:r>
          </w:p>
        </w:tc>
        <w:tc>
          <w:tcPr>
            <w:tcW w:type="dxa" w:w="2351"/>
          </w:tcPr>
          <w:p>
            <w:r/>
            <w:r>
              <w:rPr>
                <w:sz w:val="19"/>
              </w:rPr>
              <w:t>3: Online-Kurse vorhanden, Unterstützung ausserhalb Unterrichtszeit, ≥ 3 Unterrichtstage/Woche</w:t>
            </w:r>
          </w:p>
        </w:tc>
        <w:tc>
          <w:tcPr>
            <w:tcW w:type="dxa" w:w="2351"/>
          </w:tcPr>
          <w:p>
            <w:r/>
            <w:r>
              <w:rPr>
                <w:sz w:val="19"/>
              </w:rPr>
              <w:t>courses.is_online, CourseDetails, courses.occurrence</w:t>
            </w:r>
          </w:p>
        </w:tc>
      </w:tr>
      <w:tr>
        <w:tc>
          <w:tcPr>
            <w:tcW w:type="dxa" w:w="2351"/>
          </w:tcPr>
          <w:p>
            <w:r/>
            <w:r>
              <w:rPr>
                <w:sz w:val="19"/>
              </w:rPr>
              <w:t>Zusatzleistungen (services)</w:t>
            </w:r>
          </w:p>
        </w:tc>
        <w:tc>
          <w:tcPr>
            <w:tcW w:type="dxa" w:w="2351"/>
          </w:tcPr>
          <w:p>
            <w:r/>
            <w:r>
              <w:rPr>
                <w:sz w:val="19"/>
              </w:rPr>
              <w:t>17 %</w:t>
            </w:r>
          </w:p>
        </w:tc>
        <w:tc>
          <w:tcPr>
            <w:tcW w:type="dxa" w:w="2351"/>
          </w:tcPr>
          <w:p>
            <w:r/>
            <w:r>
              <w:rPr>
                <w:sz w:val="19"/>
              </w:rPr>
              <w:t>6: Einstufungstest, Aufsatzkorrektur, Prüfungssimulation, Beratungsgespräch, eigene Lernunterlagen, Prüfungsarchiv</w:t>
            </w:r>
          </w:p>
        </w:tc>
        <w:tc>
          <w:tcPr>
            <w:tcW w:type="dxa" w:w="2351"/>
          </w:tcPr>
          <w:p>
            <w:r/>
            <w:r>
              <w:rPr>
                <w:sz w:val="19"/>
              </w:rPr>
              <w:t>GymiProviders, CourseDetails</w:t>
            </w:r>
          </w:p>
        </w:tc>
      </w:tr>
      <w:tr>
        <w:tc>
          <w:tcPr>
            <w:tcW w:type="dxa" w:w="2351"/>
          </w:tcPr>
          <w:p>
            <w:r/>
            <w:r>
              <w:rPr>
                <w:sz w:val="19"/>
              </w:rPr>
              <w:t>Digital (digital)</w:t>
            </w:r>
          </w:p>
        </w:tc>
        <w:tc>
          <w:tcPr>
            <w:tcW w:type="dxa" w:w="2351"/>
          </w:tcPr>
          <w:p>
            <w:r/>
            <w:r>
              <w:rPr>
                <w:sz w:val="19"/>
              </w:rPr>
              <w:t>16 %</w:t>
            </w:r>
          </w:p>
        </w:tc>
        <w:tc>
          <w:tcPr>
            <w:tcW w:type="dxa" w:w="2351"/>
          </w:tcPr>
          <w:p>
            <w:r/>
            <w:r>
              <w:rPr>
                <w:sz w:val="19"/>
              </w:rPr>
              <w:t>2: E-Learning, Online-Prüfung</w:t>
            </w:r>
          </w:p>
        </w:tc>
        <w:tc>
          <w:tcPr>
            <w:tcW w:type="dxa" w:w="2351"/>
          </w:tcPr>
          <w:p>
            <w:r/>
            <w:r>
              <w:rPr>
                <w:sz w:val="19"/>
              </w:rPr>
              <w:t>GymiProviders."E-Learning", GymiProviders.Onlinepruefung</w:t>
            </w:r>
          </w:p>
        </w:tc>
      </w:tr>
    </w:tbl>
    <w:p>
      <w:pPr>
        <w:spacing w:after="200"/>
      </w:pPr>
    </w:p>
    <w:p>
      <w:pPr>
        <w:spacing w:before="120" w:after="200"/>
        <w:ind w:left="227"/>
        <w:pBdr>
          <w:left w:val="single" w:sz="18" w:space="8" w:color="2F5496"/>
        </w:pBdr>
        <w:shd w:val="clear" w:color="auto" w:fill="EEF2FA"/>
      </w:pPr>
      <w:r>
        <w:rPr>
          <w:b/>
          <w:color w:val="2F5496"/>
        </w:rPr>
        <w:t xml:space="preserve">Hinweis: </w:t>
      </w:r>
      <w:r>
        <w:t>1 + 3 + 1 + 3 + 6 + 2 = 16 Indikatoren über 6 Kriterien — exakt diese Struktur ist auch in der BT als Tabelle dokumentiert (BT Tabelle 18, S. 28: "6 MCDA-Kriterien / 16 Indikatoren"). Die Zuordnung hier wurde direkt aus dem aktuellen Code (utils/adaptProviders.ts) nachgezählt, nicht aus der BT übernommen — beide stimmen überein, was bestätigt, dass sich die Kriterienstruktur seit BT-Abgabe nicht verändert hat.</w:t>
      </w:r>
    </w:p>
    <w:p>
      <w:pPr>
        <w:pStyle w:val="Heading2"/>
      </w:pPr>
      <w:r>
        <w:t>10.2 Preis-Score: Normalisierung innerhalb des sichtbaren Anbieter-Sets</w:t>
      </w:r>
    </w:p>
    <w:p>
      <w: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pPr>
        <w:pStyle w:val="Code"/>
        <w:shd w:val="clear" w:color="auto" w:fill="F2F2F2"/>
        <w:pBdr>
          <w:top w:val="single" w:sz="4" w:space="4" w:color="CCCCCC"/>
          <w:left w:val="single" w:sz="4" w:space="4" w:color="CCCCCC"/>
          <w:bottom w:val="single" w:sz="4" w:space="4" w:color="CCCCCC"/>
          <w:right w:val="single" w:sz="4" w:space="4" w:color="CCCCCC"/>
        </w:pBdr>
      </w:pPr>
      <w:r>
        <w:t>// utils/adaptProviders.ts – calculateSubScores()</w:t>
      </w:r>
    </w:p>
    <w:p>
      <w:pPr>
        <w:pStyle w:val="Code"/>
        <w:shd w:val="clear" w:color="auto" w:fill="F2F2F2"/>
        <w:pBdr>
          <w:top w:val="single" w:sz="4" w:space="4" w:color="CCCCCC"/>
          <w:left w:val="single" w:sz="4" w:space="4" w:color="CCCCCC"/>
          <w:bottom w:val="single" w:sz="4" w:space="4" w:color="CCCCCC"/>
          <w:right w:val="single" w:sz="4" w:space="4" w:color="CCCCCC"/>
        </w:pBdr>
      </w:pPr>
      <w:r>
        <w:t>let priceScore = 0.5;   // Default, falls kein Preis oder alle Preise gleich</w:t>
      </w:r>
    </w:p>
    <w:p>
      <w:pPr>
        <w:pStyle w:val="Code"/>
        <w:shd w:val="clear" w:color="auto" w:fill="F2F2F2"/>
        <w:pBdr>
          <w:top w:val="single" w:sz="4" w:space="4" w:color="CCCCCC"/>
          <w:left w:val="single" w:sz="4" w:space="4" w:color="CCCCCC"/>
          <w:bottom w:val="single" w:sz="4" w:space="4" w:color="CCCCCC"/>
          <w:right w:val="single" w:sz="4" w:space="4" w:color="CCCCCC"/>
        </w:pBdr>
      </w:pPr>
      <w:r>
        <w:t>if (price !== null &amp;&amp; priceRangeContext.maxPrice &gt; priceRangeContext.minPrice)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priceScore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1 - (price - priceRangeContext.minPrice)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(priceRangeContext.maxPrice - priceRangeContext.minPrice);</w:t>
      </w:r>
    </w:p>
    <w:p>
      <w:pPr>
        <w:pStyle w:val="Code"/>
        <w:shd w:val="clear" w:color="auto" w:fill="F2F2F2"/>
        <w:pBdr>
          <w:top w:val="single" w:sz="4" w:space="4" w:color="CCCCCC"/>
          <w:left w:val="single" w:sz="4" w:space="4" w:color="CCCCCC"/>
          <w:bottom w:val="single" w:sz="4" w:space="4" w:color="CCCCCC"/>
          <w:right w:val="single" w:sz="4" w:space="4" w:color="CCCCCC"/>
        </w:pBdr>
      </w:pPr>
      <w:r>
        <w:t>}</w:t>
      </w:r>
    </w:p>
    <w:p>
      <w:pPr>
        <w:pStyle w:val="Heading2"/>
      </w:pPr>
      <w:r>
        <w:t>10.3 Qualitäts-Score: datengetrieben statt manuell gepflegt</w:t>
      </w:r>
    </w:p>
    <w:p>
      <w: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pPr>
        <w:pStyle w:val="ListNumber"/>
      </w:pPr>
      <w:r>
        <w:t>Kleine Klassen (maximale Gruppengrösse ≤ 8 Teilnehmer) → individuelle Betreuung</w:t>
      </w:r>
    </w:p>
    <w:p>
      <w:pPr>
        <w:pStyle w:val="ListNumber"/>
      </w:pPr>
      <w:r>
        <w:t>Eigene Lernunterlagen vorhanden → pädagogisches Investment des Anbieters</w:t>
      </w:r>
    </w:p>
    <w:p>
      <w:pPr>
        <w:pStyle w:val="ListNumber"/>
      </w:pPr>
      <w:r>
        <w:t>Beratungsgespräch verfügbar → persönliche Betreuung vor Kursbeginn</w:t>
      </w:r>
    </w:p>
    <w:p>
      <w:r>
        <w:t>≥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computeQualityRating() — es kann also nicht vorkommen, dass Score und angezeigte Sterne auseinanderlaufen.</w:t>
      </w:r>
    </w:p>
    <w:p>
      <w:pPr>
        <w:pStyle w:val="Heading2"/>
      </w:pPr>
      <w:r>
        <w:t>10.4 Standort-, Flexibilitäts-, Service- und Digital-Score</w:t>
      </w:r>
    </w:p>
    <w:p>
      <w:r>
        <w:t>Die übrigen vier Kriterien folgen demselben Muster: eine feste Anzahl Bool'scher Signale wird gezählt und durch die Gesamtzahl möglicher Signale geteilt (bzw. bei Standort durch einen Schwellenwert gedeckelt).</w:t>
      </w:r>
    </w:p>
    <w:p>
      <w:pPr>
        <w:pStyle w:val="Caption2"/>
        <w:spacing w:after="40"/>
      </w:pPr>
      <w:r>
        <w:t>Tabelle 17: Score-Formeln je Kriterium</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Kriterium</w:t>
            </w:r>
          </w:p>
        </w:tc>
        <w:tc>
          <w:tcPr>
            <w:tcW w:type="dxa" w:w="4703"/>
            <w:shd w:val="clear" w:color="auto" w:fill="2F5496"/>
          </w:tcPr>
          <w:p>
            <w:r/>
            <w:r>
              <w:rPr>
                <w:b/>
                <w:color w:val="FFFFFF"/>
                <w:sz w:val="19"/>
              </w:rPr>
              <w:t>Formel</w:t>
            </w:r>
          </w:p>
        </w:tc>
      </w:tr>
      <w:tr>
        <w:tc>
          <w:tcPr>
            <w:tcW w:type="dxa" w:w="4703"/>
          </w:tcPr>
          <w:p>
            <w:r/>
            <w:r>
              <w:rPr>
                <w:sz w:val="19"/>
              </w:rPr>
              <w:t>Standort</w:t>
            </w:r>
          </w:p>
        </w:tc>
        <w:tc>
          <w:tcPr>
            <w:tcW w:type="dxa" w:w="4703"/>
          </w:tcPr>
          <w:p>
            <w:r/>
            <w:r>
              <w:rPr>
                <w:sz w:val="19"/>
              </w:rPr>
              <w:t>min(1, Anzahl_unique_Standorte / 5) — 5 Standorte oder mehr = voller Score. Lern-Forum bedient als dichtester Anbieter 6 Standorte; ab 5 ist der Unterschied für Nutzer:innen kaum noch relevant.</w:t>
            </w:r>
          </w:p>
        </w:tc>
      </w:tr>
      <w:tr>
        <w:tc>
          <w:tcPr>
            <w:tcW w:type="dxa" w:w="4703"/>
          </w:tcPr>
          <w:p>
            <w:r/>
            <w:r>
              <w:rPr>
                <w:sz w:val="19"/>
              </w:rPr>
              <w:t>Flexibilität</w:t>
            </w:r>
          </w:p>
        </w:tc>
        <w:tc>
          <w:tcPr>
            <w:tcW w:type="dxa" w:w="4703"/>
          </w:tcPr>
          <w:p>
            <w:r/>
            <w:r>
              <w:rPr>
                <w:sz w:val="19"/>
              </w:rPr>
              <w:t>(online_verfügbar + Unterstützung_ausserhalb + ≥3_Unterrichtstage) / 3</w:t>
            </w:r>
          </w:p>
        </w:tc>
      </w:tr>
      <w:tr>
        <w:tc>
          <w:tcPr>
            <w:tcW w:type="dxa" w:w="4703"/>
          </w:tcPr>
          <w:p>
            <w:r/>
            <w:r>
              <w:rPr>
                <w:sz w:val="19"/>
              </w:rPr>
              <w:t>Zusatzleistungen</w:t>
            </w:r>
          </w:p>
        </w:tc>
        <w:tc>
          <w:tcPr>
            <w:tcW w:type="dxa" w:w="4703"/>
          </w:tcPr>
          <w:p>
            <w:r/>
            <w:r>
              <w:rPr>
                <w:sz w:val="19"/>
              </w:rPr>
              <w:t>(Einstufungstest + Aufsatzkorrektur + Prüfungssimulation + Beratungsgespräch + Lernunterlagen + Prüfungsarchiv) / 6</w:t>
            </w:r>
          </w:p>
        </w:tc>
      </w:tr>
      <w:tr>
        <w:tc>
          <w:tcPr>
            <w:tcW w:type="dxa" w:w="4703"/>
          </w:tcPr>
          <w:p>
            <w:r/>
            <w:r>
              <w:rPr>
                <w:sz w:val="19"/>
              </w:rPr>
              <w:t>Digital</w:t>
            </w:r>
          </w:p>
        </w:tc>
        <w:tc>
          <w:tcPr>
            <w:tcW w:type="dxa" w:w="4703"/>
          </w:tcPr>
          <w:p>
            <w:r/>
            <w:r>
              <w:rPr>
                <w:sz w:val="19"/>
              </w:rPr>
              <w:t>(E-Learning + Online-Prüfung) / 2</w:t>
            </w:r>
          </w:p>
        </w:tc>
      </w:tr>
    </w:tbl>
    <w:p>
      <w:pPr>
        <w:spacing w:after="200"/>
      </w:pPr>
    </w:p>
    <w:p>
      <w:pPr>
        <w:pStyle w:val="Heading2"/>
      </w:pPr>
      <w:r>
        <w:t>10.5 Gewichtung und Gesamtscore</w:t>
      </w:r>
    </w:p>
    <w:p>
      <w:r>
        <w:t>Die sechs Sub-Scores (jeweils 0 bis 1) werden mit den vom User eingestellten Gewichten multipliziert, auf die tatsächliche Gewichtssumme normalisiert (falls z. B. ein Kriterium auf 0 gestellt wird) und zu einem Score zwischen 0 und 100 aufsummiert:</w:t>
      </w:r>
    </w:p>
    <w:p>
      <w:pPr>
        <w:pStyle w:val="Code"/>
        <w:shd w:val="clear" w:color="auto" w:fill="F2F2F2"/>
        <w:pBdr>
          <w:top w:val="single" w:sz="4" w:space="4" w:color="CCCCCC"/>
          <w:left w:val="single" w:sz="4" w:space="4" w:color="CCCCCC"/>
          <w:bottom w:val="single" w:sz="4" w:space="4" w:color="CCCCCC"/>
          <w:right w:val="single" w:sz="4" w:space="4" w:color="CCCCCC"/>
        </w:pBdr>
      </w:pPr>
      <w:r>
        <w:t>// utils/adaptProviders.ts – applyWeights()</w:t>
      </w:r>
    </w:p>
    <w:p>
      <w:pPr>
        <w:pStyle w:val="Code"/>
        <w:shd w:val="clear" w:color="auto" w:fill="F2F2F2"/>
        <w:pBdr>
          <w:top w:val="single" w:sz="4" w:space="4" w:color="CCCCCC"/>
          <w:left w:val="single" w:sz="4" w:space="4" w:color="CCCCCC"/>
          <w:bottom w:val="single" w:sz="4" w:space="4" w:color="CCCCCC"/>
          <w:right w:val="single" w:sz="4" w:space="4" w:color="CCCCCC"/>
        </w:pBdr>
      </w:pPr>
      <w:r>
        <w:t>const totalWeight = w.price + w.quality + w.location + w.flex + w.services + w.digital;</w:t>
      </w:r>
    </w:p>
    <w:p>
      <w:pPr>
        <w:pStyle w:val="Code"/>
        <w:shd w:val="clear" w:color="auto" w:fill="F2F2F2"/>
        <w:pBdr>
          <w:top w:val="single" w:sz="4" w:space="4" w:color="CCCCCC"/>
          <w:left w:val="single" w:sz="4" w:space="4" w:color="CCCCCC"/>
          <w:bottom w:val="single" w:sz="4" w:space="4" w:color="CCCCCC"/>
          <w:right w:val="single" w:sz="4" w:space="4" w:color="CCCCCC"/>
        </w:pBdr>
      </w:pPr>
      <w:r>
        <w:t>const weighted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(w.price    / totalWeight) * sub.price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(w.quality  / totalWeight) * sub.quality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(w.location / totalWeight) * sub.location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(w.flex     / totalWeight) * sub.flex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(w.services / totalWeight) * sub.services +</w:t>
      </w:r>
    </w:p>
    <w:p>
      <w:pPr>
        <w:pStyle w:val="Code"/>
        <w:shd w:val="clear" w:color="auto" w:fill="F2F2F2"/>
        <w:pBdr>
          <w:top w:val="single" w:sz="4" w:space="4" w:color="CCCCCC"/>
          <w:left w:val="single" w:sz="4" w:space="4" w:color="CCCCCC"/>
          <w:bottom w:val="single" w:sz="4" w:space="4" w:color="CCCCCC"/>
          <w:right w:val="single" w:sz="4" w:space="4" w:color="CCCCCC"/>
        </w:pBdr>
      </w:pPr>
      <w:r>
        <w:t xml:space="preserve">  (w.digital  / totalWeight) * sub.digital;</w:t>
      </w:r>
    </w:p>
    <w:p>
      <w:pPr>
        <w:pStyle w:val="Code"/>
        <w:shd w:val="clear" w:color="auto" w:fill="F2F2F2"/>
        <w:pBdr>
          <w:top w:val="single" w:sz="4" w:space="4" w:color="CCCCCC"/>
          <w:left w:val="single" w:sz="4" w:space="4" w:color="CCCCCC"/>
          <w:bottom w:val="single" w:sz="4" w:space="4" w:color="CCCCCC"/>
          <w:right w:val="single" w:sz="4" w:space="4" w:color="CCCCCC"/>
        </w:pBdr>
      </w:pPr>
      <w:r>
        <w:t>return Math.round(weighted * 100);</w:t>
      </w:r>
    </w:p>
    <w:p>
      <w:r>
        <w:t>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applyWeightsBreakdown() liefert dafür zusätzlich die gewichteten Einzelbeiträge pro Kriterium (nicht nur die Summe), damit die Sub-Score-Aufschlüsselung in der UI angezeigt werden kann.</w:t>
      </w:r>
    </w:p>
    <w:p>
      <w:pPr>
        <w:spacing w:before="120" w:after="200"/>
        <w:ind w:left="227"/>
        <w:pBdr>
          <w:left w:val="single" w:sz="18" w:space="8" w:color="2F5496"/>
        </w:pBdr>
        <w:shd w:val="clear" w:color="auto" w:fill="EEF2FA"/>
      </w:pPr>
      <w:r>
        <w:rPr>
          <w:b/>
          <w:color w:val="2F5496"/>
        </w:rPr>
        <w:t xml:space="preserve">Hinweis: </w:t>
      </w:r>
      <w: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pPr>
        <w:pStyle w:val="Heading2"/>
      </w:pPr>
      <w:r>
        <w:t>10.6 Kurstyp-Filterung: Anbieter werden ausgeblendet, nicht schlecht bewertet</w:t>
      </w:r>
    </w:p>
    <w:p>
      <w:r>
        <w:t>Bevor überhaupt ein Score berechnet wird, filtert adaptProviders() die Anbieterliste nach dem gewählten Kurstyp (Langzeit- oder Kurzzeitgymnasium). Anbieter, die den gewählten Typ laut CourseDetails."Kursart (Intensiv- oder Langzeitkurs)" gar nicht führen, werden komplett aus der Ergebnisliste entfernt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pPr>
        <w:pStyle w:val="Heading1"/>
      </w:pPr>
      <w:r>
        <w:t>11. Anwendung: Nutzung &amp; Screenshots</w:t>
      </w:r>
    </w:p>
    <w:p>
      <w: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pPr>
        <w:pStyle w:val="Heading2"/>
      </w:pPr>
      <w:r>
        <w:t>11.1 Startseite</w:t>
      </w:r>
    </w:p>
    <w:p>
      <w: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pPr>
        <w:jc w:val="center"/>
      </w:pPr>
      <w:r>
        <w:drawing>
          <wp:inline xmlns:a="http://schemas.openxmlformats.org/drawingml/2006/main" xmlns:pic="http://schemas.openxmlformats.org/drawingml/2006/picture">
            <wp:extent cx="5580000" cy="3119880"/>
            <wp:docPr id="4" name="Picture 4"/>
            <wp:cNvGraphicFramePr>
              <a:graphicFrameLocks noChangeAspect="1"/>
            </wp:cNvGraphicFramePr>
            <a:graphic>
              <a:graphicData uri="http://schemas.openxmlformats.org/drawingml/2006/picture">
                <pic:pic>
                  <pic:nvPicPr>
                    <pic:cNvPr id="0" name="fig28-landing-dark-en.jpg"/>
                    <pic:cNvPicPr/>
                  </pic:nvPicPr>
                  <pic:blipFill>
                    <a:blip r:embed="rId13"/>
                    <a:stretch>
                      <a:fillRect/>
                    </a:stretch>
                  </pic:blipFill>
                  <pic:spPr>
                    <a:xfrm>
                      <a:off x="0" y="0"/>
                      <a:ext cx="5580000" cy="3119880"/>
                    </a:xfrm>
                    <a:prstGeom prst="rect"/>
                  </pic:spPr>
                </pic:pic>
              </a:graphicData>
            </a:graphic>
          </wp:inline>
        </w:drawing>
      </w:r>
    </w:p>
    <w:p>
      <w:pPr>
        <w:pStyle w:val="Caption2"/>
        <w:jc w:val="center"/>
      </w:pPr>
      <w:r>
        <w:t>Abbildung 4: Startseite im dunklen Farbschema, englische Sprachversion (Quelle: BT Fig. 28). Navigationspfad: direkter Aufruf von / (bzw. /de/, /en/) oder Header-Link „Vergleich”.</w:t>
      </w:r>
    </w:p>
    <w:p>
      <w:pPr>
        <w:jc w:val="center"/>
      </w:pPr>
      <w:r>
        <w:drawing>
          <wp:inline xmlns:a="http://schemas.openxmlformats.org/drawingml/2006/main" xmlns:pic="http://schemas.openxmlformats.org/drawingml/2006/picture">
            <wp:extent cx="5580000" cy="3161194"/>
            <wp:docPr id="5" name="Picture 5"/>
            <wp:cNvGraphicFramePr>
              <a:graphicFrameLocks noChangeAspect="1"/>
            </wp:cNvGraphicFramePr>
            <a:graphic>
              <a:graphicData uri="http://schemas.openxmlformats.org/drawingml/2006/picture">
                <pic:pic>
                  <pic:nvPicPr>
                    <pic:cNvPr id="0" name="fig44-home-light-mode.jpg"/>
                    <pic:cNvPicPr/>
                  </pic:nvPicPr>
                  <pic:blipFill>
                    <a:blip r:embed="rId14"/>
                    <a:stretch>
                      <a:fillRect/>
                    </a:stretch>
                  </pic:blipFill>
                  <pic:spPr>
                    <a:xfrm>
                      <a:off x="0" y="0"/>
                      <a:ext cx="5580000" cy="3161194"/>
                    </a:xfrm>
                    <a:prstGeom prst="rect"/>
                  </pic:spPr>
                </pic:pic>
              </a:graphicData>
            </a:graphic>
          </wp:inline>
        </w:drawing>
      </w:r>
    </w:p>
    <w:p>
      <w:pPr>
        <w:pStyle w:val="Caption2"/>
        <w:jc w:val="center"/>
      </w:pPr>
      <w:r>
        <w:t>Abbildung 5: Dieselbe Startseite im hellen Farbschema, zum Vergleich (Quelle: BT Fig. 44). Navigationspfad: wie oben, / bzw. Header-Link „Vergleich”.</w:t>
      </w:r>
    </w:p>
    <w:p>
      <w:pPr>
        <w:pStyle w:val="Heading2"/>
      </w:pPr>
      <w:r>
        <w:t>11.2 Anbieterübersicht</w:t>
      </w:r>
    </w:p>
    <w:p>
      <w:pPr>
        <w:jc w:val="center"/>
      </w:pPr>
      <w:r>
        <w:drawing>
          <wp:inline xmlns:a="http://schemas.openxmlformats.org/drawingml/2006/main" xmlns:pic="http://schemas.openxmlformats.org/drawingml/2006/picture">
            <wp:extent cx="5580000" cy="3148075"/>
            <wp:docPr id="6" name="Picture 6"/>
            <wp:cNvGraphicFramePr>
              <a:graphicFrameLocks noChangeAspect="1"/>
            </wp:cNvGraphicFramePr>
            <a:graphic>
              <a:graphicData uri="http://schemas.openxmlformats.org/drawingml/2006/picture">
                <pic:pic>
                  <pic:nvPicPr>
                    <pic:cNvPr id="0" name="fig29-provider-overview-filter.jpg"/>
                    <pic:cNvPicPr/>
                  </pic:nvPicPr>
                  <pic:blipFill>
                    <a:blip r:embed="rId15"/>
                    <a:stretch>
                      <a:fillRect/>
                    </a:stretch>
                  </pic:blipFill>
                  <pic:spPr>
                    <a:xfrm>
                      <a:off x="0" y="0"/>
                      <a:ext cx="5580000" cy="3148075"/>
                    </a:xfrm>
                    <a:prstGeom prst="rect"/>
                  </pic:spPr>
                </pic:pic>
              </a:graphicData>
            </a:graphic>
          </wp:inline>
        </w:drawing>
      </w:r>
    </w:p>
    <w:p>
      <w:pPr>
        <w:pStyle w:val="Caption2"/>
        <w:jc w:val="center"/>
      </w:pPr>
      <w:r>
        <w:t>Abbildung 6: Anbieterübersicht mit aktivem Langzeit-Filter und Standard-Sortierung nach Score (Quelle: BT Fig. 29). Navigationspfad: Startseite / → Abschnitt „Providers in comparison” (Kurstyp-Filter direkt darüber).</w:t>
      </w:r>
    </w:p>
    <w:p>
      <w:r>
        <w:t>Jede Anbieterkarte trägt eine Vergleichs-Checkbox. Sind bis zu drei Anbieter ausgewählt, erscheint im Header ein Badge mit der aktuellen Anzahl, über das direkt zur Vergleichsseite gesprungen werden kann.</w:t>
      </w:r>
    </w:p>
    <w:p>
      <w:pPr>
        <w:jc w:val="center"/>
      </w:pPr>
      <w:r>
        <w:drawing>
          <wp:inline xmlns:a="http://schemas.openxmlformats.org/drawingml/2006/main" xmlns:pic="http://schemas.openxmlformats.org/drawingml/2006/picture">
            <wp:extent cx="5580000" cy="3151891"/>
            <wp:docPr id="7" name="Picture 7"/>
            <wp:cNvGraphicFramePr>
              <a:graphicFrameLocks noChangeAspect="1"/>
            </wp:cNvGraphicFramePr>
            <a:graphic>
              <a:graphicData uri="http://schemas.openxmlformats.org/drawingml/2006/picture">
                <pic:pic>
                  <pic:nvPicPr>
                    <pic:cNvPr id="0" name="fig34-provider-overview-comparebadge.jpg"/>
                    <pic:cNvPicPr/>
                  </pic:nvPicPr>
                  <pic:blipFill>
                    <a:blip r:embed="rId16"/>
                    <a:stretch>
                      <a:fillRect/>
                    </a:stretch>
                  </pic:blipFill>
                  <pic:spPr>
                    <a:xfrm>
                      <a:off x="0" y="0"/>
                      <a:ext cx="5580000" cy="3151891"/>
                    </a:xfrm>
                    <a:prstGeom prst="rect"/>
                  </pic:spPr>
                </pic:pic>
              </a:graphicData>
            </a:graphic>
          </wp:inline>
        </w:drawing>
      </w:r>
    </w:p>
    <w:p>
      <w:pPr>
        <w:pStyle w:val="Caption2"/>
        <w:jc w:val="center"/>
      </w:pPr>
      <w:r>
        <w:t>Abbildung 7: Anbieterübersicht mit Vergleichs-Badge nach drei Auswahlen (Quelle: BT Fig. 34). Navigationspfad: Startseite / → Vergleichs-Checkbox auf 3 Anbieterkarten aktivieren → Badge „Vergleichen” erscheint rechts im Header (nur sichtbar, wenn compareCount &gt; 0).</w:t>
      </w:r>
    </w:p>
    <w:p>
      <w:pPr>
        <w:pStyle w:val="Heading2"/>
      </w:pPr>
      <w:r>
        <w:t>11.3 Nutzwertanalyse</w:t>
      </w:r>
    </w:p>
    <w:p>
      <w: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pPr>
        <w:jc w:val="center"/>
      </w:pPr>
      <w:r>
        <w:drawing>
          <wp:inline xmlns:a="http://schemas.openxmlformats.org/drawingml/2006/main" xmlns:pic="http://schemas.openxmlformats.org/drawingml/2006/picture">
            <wp:extent cx="5580000" cy="3144448"/>
            <wp:docPr id="8" name="Picture 8"/>
            <wp:cNvGraphicFramePr>
              <a:graphicFrameLocks noChangeAspect="1"/>
            </wp:cNvGraphicFramePr>
            <a:graphic>
              <a:graphicData uri="http://schemas.openxmlformats.org/drawingml/2006/picture">
                <pic:pic>
                  <pic:nvPicPr>
                    <pic:cNvPr id="0" name="fig30-nutzwertanalyse-coursetype.jpg"/>
                    <pic:cNvPicPr/>
                  </pic:nvPicPr>
                  <pic:blipFill>
                    <a:blip r:embed="rId17"/>
                    <a:stretch>
                      <a:fillRect/>
                    </a:stretch>
                  </pic:blipFill>
                  <pic:spPr>
                    <a:xfrm>
                      <a:off x="0" y="0"/>
                      <a:ext cx="5580000" cy="3144448"/>
                    </a:xfrm>
                    <a:prstGeom prst="rect"/>
                  </pic:spPr>
                </pic:pic>
              </a:graphicData>
            </a:graphic>
          </wp:inline>
        </w:drawing>
      </w:r>
    </w:p>
    <w:p>
      <w:pPr>
        <w:pStyle w:val="Caption2"/>
        <w:jc w:val="center"/>
      </w:pPr>
      <w:r>
        <w:t>Abbildung 8: Nutzwertanalyse: Auswahl des Kurstyps und Schnellauswahl-Profile (Quelle: BT Fig. 30). Navigationspfad: Header-Link „Nutzwertanalyse” → Route /nutzwertanalyse.</w:t>
      </w:r>
    </w:p>
    <w:p>
      <w:pPr>
        <w:jc w:val="center"/>
      </w:pPr>
      <w:r>
        <w:drawing>
          <wp:inline xmlns:a="http://schemas.openxmlformats.org/drawingml/2006/main" xmlns:pic="http://schemas.openxmlformats.org/drawingml/2006/picture">
            <wp:extent cx="5580000" cy="2470904"/>
            <wp:docPr id="9" name="Picture 9"/>
            <wp:cNvGraphicFramePr>
              <a:graphicFrameLocks noChangeAspect="1"/>
            </wp:cNvGraphicFramePr>
            <a:graphic>
              <a:graphicData uri="http://schemas.openxmlformats.org/drawingml/2006/picture">
                <pic:pic>
                  <pic:nvPicPr>
                    <pic:cNvPr id="0" name="fig31-nutzwertanalyse-sliders.jpg"/>
                    <pic:cNvPicPr/>
                  </pic:nvPicPr>
                  <pic:blipFill>
                    <a:blip r:embed="rId18"/>
                    <a:stretch>
                      <a:fillRect/>
                    </a:stretch>
                  </pic:blipFill>
                  <pic:spPr>
                    <a:xfrm>
                      <a:off x="0" y="0"/>
                      <a:ext cx="5580000" cy="2470904"/>
                    </a:xfrm>
                    <a:prstGeom prst="rect"/>
                  </pic:spPr>
                </pic:pic>
              </a:graphicData>
            </a:graphic>
          </wp:inline>
        </w:drawing>
      </w:r>
    </w:p>
    <w:p>
      <w:pPr>
        <w:pStyle w:val="Caption2"/>
        <w:jc w:val="center"/>
      </w:pPr>
      <w:r>
        <w:t>Abbildung 9: Die sechs Gewichtungs-Slider, hier mit dem Profil „preisbewusst“ (Quelle: BT Fig. 31). Navigationspfad: /nutzwertanalyse → Slider-Bereich unterhalb der Kurstyp-Auswahl.</w:t>
      </w:r>
    </w:p>
    <w:p>
      <w:pPr>
        <w:jc w:val="center"/>
      </w:pPr>
      <w:r>
        <w:drawing>
          <wp:inline xmlns:a="http://schemas.openxmlformats.org/drawingml/2006/main" xmlns:pic="http://schemas.openxmlformats.org/drawingml/2006/picture">
            <wp:extent cx="5580000" cy="2587772"/>
            <wp:docPr id="10" name="Picture 10"/>
            <wp:cNvGraphicFramePr>
              <a:graphicFrameLocks noChangeAspect="1"/>
            </wp:cNvGraphicFramePr>
            <a:graphic>
              <a:graphicData uri="http://schemas.openxmlformats.org/drawingml/2006/picture">
                <pic:pic>
                  <pic:nvPicPr>
                    <pic:cNvPr id="0" name="fig32-nutzwertanalyse-ranking.jpg"/>
                    <pic:cNvPicPr/>
                  </pic:nvPicPr>
                  <pic:blipFill>
                    <a:blip r:embed="rId19"/>
                    <a:stretch>
                      <a:fillRect/>
                    </a:stretch>
                  </pic:blipFill>
                  <pic:spPr>
                    <a:xfrm>
                      <a:off x="0" y="0"/>
                      <a:ext cx="5580000" cy="2587772"/>
                    </a:xfrm>
                    <a:prstGeom prst="rect"/>
                  </pic:spPr>
                </pic:pic>
              </a:graphicData>
            </a:graphic>
          </wp:inline>
        </w:drawing>
      </w:r>
    </w:p>
    <w:p>
      <w:pPr>
        <w:pStyle w:val="Caption2"/>
        <w:jc w:val="center"/>
      </w:pPr>
      <w:r>
        <w:t>Abbildung 10: Live-Ranking mit Sub-Score-Aufschlüsselung unter dem preisbewussten Profil (Quelle: BT Fig. 32). Navigationspfad: /nutzwertanalyse → Ranking-Tabelle aktualisiert sich automatisch beim Verstellen der Slider.</w:t>
      </w:r>
    </w:p>
    <w:p>
      <w:pPr>
        <w:jc w:val="center"/>
      </w:pPr>
      <w:r>
        <w:drawing>
          <wp:inline xmlns:a="http://schemas.openxmlformats.org/drawingml/2006/main" xmlns:pic="http://schemas.openxmlformats.org/drawingml/2006/picture">
            <wp:extent cx="5580000" cy="3170497"/>
            <wp:docPr id="11" name="Picture 11"/>
            <wp:cNvGraphicFramePr>
              <a:graphicFrameLocks noChangeAspect="1"/>
            </wp:cNvGraphicFramePr>
            <a:graphic>
              <a:graphicData uri="http://schemas.openxmlformats.org/drawingml/2006/picture">
                <pic:pic>
                  <pic:nvPicPr>
                    <pic:cNvPr id="0" name="fig43-provider-overview-reweighted.jpg"/>
                    <pic:cNvPicPr/>
                  </pic:nvPicPr>
                  <pic:blipFill>
                    <a:blip r:embed="rId20"/>
                    <a:stretch>
                      <a:fillRect/>
                    </a:stretch>
                  </pic:blipFill>
                  <pic:spPr>
                    <a:xfrm>
                      <a:off x="0" y="0"/>
                      <a:ext cx="5580000" cy="3170497"/>
                    </a:xfrm>
                    <a:prstGeom prst="rect"/>
                  </pic:spPr>
                </pic:pic>
              </a:graphicData>
            </a:graphic>
          </wp:inline>
        </w:drawing>
      </w:r>
    </w:p>
    <w:p>
      <w:pPr>
        <w:pStyle w:val="Caption2"/>
        <w:jc w:val="center"/>
      </w:pPr>
      <w:r>
        <w:t>Abbildung 11: Anbieterübersicht nach Anpassung der Gewichtung – Learning Culture liegt neu vorne (Quelle: BT Fig. 43). Navigationspfad: /nutzwertanalyse mit angepassten Gewichten, oder Startseite / mit ?w=-Parameter in der URL (siehe Kapitel 9.2).</w:t>
      </w:r>
    </w:p>
    <w:p>
      <w:pPr>
        <w:pStyle w:val="Heading2"/>
      </w:pPr>
      <w:r>
        <w:t>11.4 Anbieterdetail &amp; Vergleich</w:t>
      </w:r>
    </w:p>
    <w:p>
      <w:r>
        <w:t>Ein Klick auf eine Anbieterkarte öffnet ein seitliches Detail-Sheet mit allen verfügbaren Kursen, Preisen und Zusatzmerkmalen des Anbieters. Auf der Vergleichsseite /compare stehen bis zu drei ausgewählte Anbieter direkt nebeneinander.</w:t>
      </w:r>
    </w:p>
    <w:p>
      <w:pPr>
        <w:jc w:val="center"/>
      </w:pPr>
      <w:r>
        <w:drawing>
          <wp:inline xmlns:a="http://schemas.openxmlformats.org/drawingml/2006/main" xmlns:pic="http://schemas.openxmlformats.org/drawingml/2006/picture">
            <wp:extent cx="5580000" cy="3163244"/>
            <wp:docPr id="12" name="Picture 12"/>
            <wp:cNvGraphicFramePr>
              <a:graphicFrameLocks noChangeAspect="1"/>
            </wp:cNvGraphicFramePr>
            <a:graphic>
              <a:graphicData uri="http://schemas.openxmlformats.org/drawingml/2006/picture">
                <pic:pic>
                  <pic:nvPicPr>
                    <pic:cNvPr id="0" name="fig33-provider-detail-sheet.jpg"/>
                    <pic:cNvPicPr/>
                  </pic:nvPicPr>
                  <pic:blipFill>
                    <a:blip r:embed="rId21"/>
                    <a:stretch>
                      <a:fillRect/>
                    </a:stretch>
                  </pic:blipFill>
                  <pic:spPr>
                    <a:xfrm>
                      <a:off x="0" y="0"/>
                      <a:ext cx="5580000" cy="3163244"/>
                    </a:xfrm>
                    <a:prstGeom prst="rect"/>
                  </pic:spPr>
                </pic:pic>
              </a:graphicData>
            </a:graphic>
          </wp:inline>
        </w:drawing>
      </w:r>
    </w:p>
    <w:p>
      <w:pPr>
        <w:pStyle w:val="Caption2"/>
        <w:jc w:val="center"/>
      </w:pPr>
      <w:r>
        <w:t>Abbildung 12: Detail-Sheet für den Anbieter Gymivorbereitung Zürich (Quelle: BT Fig. 33). Navigationspfad: Startseite / oder /nutzwertanalyse → Klick auf eine Anbieterkarte → Slide-in-Sheet (kein eigener URL-Pfad, client-seitiges Overlay).</w:t>
      </w:r>
    </w:p>
    <w:p>
      <w:pPr>
        <w:jc w:val="center"/>
      </w:pPr>
      <w:r>
        <w:drawing>
          <wp:inline xmlns:a="http://schemas.openxmlformats.org/drawingml/2006/main" xmlns:pic="http://schemas.openxmlformats.org/drawingml/2006/picture">
            <wp:extent cx="5580000" cy="3159580"/>
            <wp:docPr id="13" name="Picture 13"/>
            <wp:cNvGraphicFramePr>
              <a:graphicFrameLocks noChangeAspect="1"/>
            </wp:cNvGraphicFramePr>
            <a:graphic>
              <a:graphicData uri="http://schemas.openxmlformats.org/drawingml/2006/picture">
                <pic:pic>
                  <pic:nvPicPr>
                    <pic:cNvPr id="0" name="fig35-compare-page.jpg"/>
                    <pic:cNvPicPr/>
                  </pic:nvPicPr>
                  <pic:blipFill>
                    <a:blip r:embed="rId22"/>
                    <a:stretch>
                      <a:fillRect/>
                    </a:stretch>
                  </pic:blipFill>
                  <pic:spPr>
                    <a:xfrm>
                      <a:off x="0" y="0"/>
                      <a:ext cx="5580000" cy="3159580"/>
                    </a:xfrm>
                    <a:prstGeom prst="rect"/>
                  </pic:spPr>
                </pic:pic>
              </a:graphicData>
            </a:graphic>
          </wp:inline>
        </w:drawing>
      </w:r>
    </w:p>
    <w:p>
      <w:pPr>
        <w:pStyle w:val="Caption2"/>
        <w:jc w:val="center"/>
      </w:pPr>
      <w:r>
        <w:t>Abbildung 13: Side-by-side-Vergleich von drei Anbietern auf der /compare-Seite (Quelle: BT Fig. 35). Navigationspfad: Startseite / → 3 Anbieter per Checkbox auswählen → Badge „Vergleichen” im Header anklicken → Route /compare.</w:t>
      </w:r>
    </w:p>
    <w:p>
      <w:pPr>
        <w:pStyle w:val="Heading2"/>
      </w:pPr>
      <w:r>
        <w:t>11.5 ZAP-Prüfungstermine</w:t>
      </w:r>
    </w:p>
    <w:p>
      <w:pPr>
        <w:jc w:val="center"/>
      </w:pPr>
      <w:r>
        <w:drawing>
          <wp:inline xmlns:a="http://schemas.openxmlformats.org/drawingml/2006/main" xmlns:pic="http://schemas.openxmlformats.org/drawingml/2006/picture">
            <wp:extent cx="5580000" cy="3145972"/>
            <wp:docPr id="14" name="Picture 14"/>
            <wp:cNvGraphicFramePr>
              <a:graphicFrameLocks noChangeAspect="1"/>
            </wp:cNvGraphicFramePr>
            <a:graphic>
              <a:graphicData uri="http://schemas.openxmlformats.org/drawingml/2006/picture">
                <pic:pic>
                  <pic:nvPicPr>
                    <pic:cNvPr id="0" name="fig36-zapinfo-page.jpg"/>
                    <pic:cNvPicPr/>
                  </pic:nvPicPr>
                  <pic:blipFill>
                    <a:blip r:embed="rId23"/>
                    <a:stretch>
                      <a:fillRect/>
                    </a:stretch>
                  </pic:blipFill>
                  <pic:spPr>
                    <a:xfrm>
                      <a:off x="0" y="0"/>
                      <a:ext cx="5580000" cy="3145972"/>
                    </a:xfrm>
                    <a:prstGeom prst="rect"/>
                  </pic:spPr>
                </pic:pic>
              </a:graphicData>
            </a:graphic>
          </wp:inline>
        </w:drawing>
      </w:r>
    </w:p>
    <w:p>
      <w:pPr>
        <w:pStyle w:val="Caption2"/>
        <w:jc w:val="center"/>
      </w:pPr>
      <w:r>
        <w:t>Abbildung 14: ZAP-Info-Seite mit Erklärung zu Gymnasialtypen und Prüfungsfächern (Quelle: BT Fig. 36). Navigationspfad: Header-Link „ZAP-Info” → Route /zap-info.</w:t>
      </w:r>
    </w:p>
    <w:p>
      <w:pPr>
        <w:jc w:val="center"/>
      </w:pPr>
      <w:r>
        <w:drawing>
          <wp:inline xmlns:a="http://schemas.openxmlformats.org/drawingml/2006/main" xmlns:pic="http://schemas.openxmlformats.org/drawingml/2006/picture">
            <wp:extent cx="5580000" cy="3166421"/>
            <wp:docPr id="15" name="Picture 15"/>
            <wp:cNvGraphicFramePr>
              <a:graphicFrameLocks noChangeAspect="1"/>
            </wp:cNvGraphicFramePr>
            <a:graphic>
              <a:graphicData uri="http://schemas.openxmlformats.org/drawingml/2006/picture">
                <pic:pic>
                  <pic:nvPicPr>
                    <pic:cNvPr id="0" name="fig37-zapinfo-dates.jpg"/>
                    <pic:cNvPicPr/>
                  </pic:nvPicPr>
                  <pic:blipFill>
                    <a:blip r:embed="rId24"/>
                    <a:stretch>
                      <a:fillRect/>
                    </a:stretch>
                  </pic:blipFill>
                  <pic:spPr>
                    <a:xfrm>
                      <a:off x="0" y="0"/>
                      <a:ext cx="5580000" cy="3166421"/>
                    </a:xfrm>
                    <a:prstGeom prst="rect"/>
                  </pic:spPr>
                </pic:pic>
              </a:graphicData>
            </a:graphic>
          </wp:inline>
        </w:drawing>
      </w:r>
    </w:p>
    <w:p>
      <w:pPr>
        <w:pStyle w:val="Caption2"/>
        <w:jc w:val="center"/>
      </w:pPr>
      <w:r>
        <w:t>Abbildung 15: Konkrete ZAP-Termine für das Schuljahr 2026/27 mit Quellenangabe (Quelle: BT Fig. 37). Navigationspfad: /zap-info → nach unten scrollen zu den Termin-Karten des gewünschten Schuljahrs.</w:t>
      </w:r>
    </w:p>
    <w:p>
      <w:pPr>
        <w:jc w:val="center"/>
      </w:pPr>
      <w:r>
        <w:drawing>
          <wp:inline xmlns:a="http://schemas.openxmlformats.org/drawingml/2006/main" xmlns:pic="http://schemas.openxmlformats.org/drawingml/2006/picture">
            <wp:extent cx="5580000" cy="3166776"/>
            <wp:docPr id="16" name="Picture 16"/>
            <wp:cNvGraphicFramePr>
              <a:graphicFrameLocks noChangeAspect="1"/>
            </wp:cNvGraphicFramePr>
            <a:graphic>
              <a:graphicData uri="http://schemas.openxmlformats.org/drawingml/2006/picture">
                <pic:pic>
                  <pic:nvPicPr>
                    <pic:cNvPr id="0" name="fig38-zap-timeline.jpg"/>
                    <pic:cNvPicPr/>
                  </pic:nvPicPr>
                  <pic:blipFill>
                    <a:blip r:embed="rId25"/>
                    <a:stretch>
                      <a:fillRect/>
                    </a:stretch>
                  </pic:blipFill>
                  <pic:spPr>
                    <a:xfrm>
                      <a:off x="0" y="0"/>
                      <a:ext cx="5580000" cy="3166776"/>
                    </a:xfrm>
                    <a:prstGeom prst="rect"/>
                  </pic:spPr>
                </pic:pic>
              </a:graphicData>
            </a:graphic>
          </wp:inline>
        </w:drawing>
      </w:r>
    </w:p>
    <w:p>
      <w:pPr>
        <w:pStyle w:val="Caption2"/>
        <w:jc w:val="center"/>
      </w:pPr>
      <w:r>
        <w:t>Abbildung 16: Visuelle Zeitleiste der vier zentralen Termine, wie sie auch auf der Startseite eingebunden ist (Quelle: BT Fig. 38). Navigationspfad: Bestandteil der Startseite / (ZapTimeline-Komponente, kein eigener Klickpfad) oder /zap-info.</w:t>
      </w:r>
    </w:p>
    <w:p>
      <w:pPr>
        <w:pStyle w:val="Heading2"/>
      </w:pPr>
      <w:r>
        <w:t>11.6 About &amp; Contact</w:t>
      </w:r>
    </w:p>
    <w:p>
      <w:pPr>
        <w:jc w:val="center"/>
      </w:pPr>
      <w:r>
        <w:drawing>
          <wp:inline xmlns:a="http://schemas.openxmlformats.org/drawingml/2006/main" xmlns:pic="http://schemas.openxmlformats.org/drawingml/2006/picture">
            <wp:extent cx="5580000" cy="3119880"/>
            <wp:docPr id="17" name="Picture 17"/>
            <wp:cNvGraphicFramePr>
              <a:graphicFrameLocks noChangeAspect="1"/>
            </wp:cNvGraphicFramePr>
            <a:graphic>
              <a:graphicData uri="http://schemas.openxmlformats.org/drawingml/2006/picture">
                <pic:pic>
                  <pic:nvPicPr>
                    <pic:cNvPr id="0" name="fig39-about-page.jpg"/>
                    <pic:cNvPicPr/>
                  </pic:nvPicPr>
                  <pic:blipFill>
                    <a:blip r:embed="rId26"/>
                    <a:stretch>
                      <a:fillRect/>
                    </a:stretch>
                  </pic:blipFill>
                  <pic:spPr>
                    <a:xfrm>
                      <a:off x="0" y="0"/>
                      <a:ext cx="5580000" cy="3119880"/>
                    </a:xfrm>
                    <a:prstGeom prst="rect"/>
                  </pic:spPr>
                </pic:pic>
              </a:graphicData>
            </a:graphic>
          </wp:inline>
        </w:drawing>
      </w:r>
    </w:p>
    <w:p>
      <w:pPr>
        <w:pStyle w:val="Caption2"/>
        <w:jc w:val="center"/>
      </w:pPr>
      <w:r>
        <w:t>Abbildung 17: About-Seite mit Erklärung des Projekts und Tech-Stack-Übersicht (Quelle: BT Fig. 39). Navigationspfad: Header-Link „Über uns” → Route /about.</w:t>
      </w:r>
    </w:p>
    <w:p>
      <w:pPr>
        <w:jc w:val="center"/>
      </w:pPr>
      <w:r>
        <w:drawing>
          <wp:inline xmlns:a="http://schemas.openxmlformats.org/drawingml/2006/main" xmlns:pic="http://schemas.openxmlformats.org/drawingml/2006/picture">
            <wp:extent cx="5580000" cy="3157472"/>
            <wp:docPr id="18" name="Picture 18"/>
            <wp:cNvGraphicFramePr>
              <a:graphicFrameLocks noChangeAspect="1"/>
            </wp:cNvGraphicFramePr>
            <a:graphic>
              <a:graphicData uri="http://schemas.openxmlformats.org/drawingml/2006/picture">
                <pic:pic>
                  <pic:nvPicPr>
                    <pic:cNvPr id="0" name="fig40-about-author.jpg"/>
                    <pic:cNvPicPr/>
                  </pic:nvPicPr>
                  <pic:blipFill>
                    <a:blip r:embed="rId27"/>
                    <a:stretch>
                      <a:fillRect/>
                    </a:stretch>
                  </pic:blipFill>
                  <pic:spPr>
                    <a:xfrm>
                      <a:off x="0" y="0"/>
                      <a:ext cx="5580000" cy="3157472"/>
                    </a:xfrm>
                    <a:prstGeom prst="rect"/>
                  </pic:spPr>
                </pic:pic>
              </a:graphicData>
            </a:graphic>
          </wp:inline>
        </w:drawing>
      </w:r>
    </w:p>
    <w:p>
      <w:pPr>
        <w:pStyle w:val="Caption2"/>
        <w:jc w:val="center"/>
      </w:pPr>
      <w:r>
        <w:t>Abbildung 18: Kontaktkarte der Autorin auf der About-Seite (Quelle: BT Fig. 40). Navigationspfad: /about → nach unten scrollen zur Autorenkarte.</w:t>
      </w:r>
    </w:p>
    <w:p>
      <w:pPr>
        <w:jc w:val="center"/>
      </w:pPr>
      <w:r>
        <w:drawing>
          <wp:inline xmlns:a="http://schemas.openxmlformats.org/drawingml/2006/main" xmlns:pic="http://schemas.openxmlformats.org/drawingml/2006/picture">
            <wp:extent cx="5580000" cy="3135145"/>
            <wp:docPr id="19" name="Picture 19"/>
            <wp:cNvGraphicFramePr>
              <a:graphicFrameLocks noChangeAspect="1"/>
            </wp:cNvGraphicFramePr>
            <a:graphic>
              <a:graphicData uri="http://schemas.openxmlformats.org/drawingml/2006/picture">
                <pic:pic>
                  <pic:nvPicPr>
                    <pic:cNvPr id="0" name="fig41-contact-page.jpg"/>
                    <pic:cNvPicPr/>
                  </pic:nvPicPr>
                  <pic:blipFill>
                    <a:blip r:embed="rId28"/>
                    <a:stretch>
                      <a:fillRect/>
                    </a:stretch>
                  </pic:blipFill>
                  <pic:spPr>
                    <a:xfrm>
                      <a:off x="0" y="0"/>
                      <a:ext cx="5580000" cy="3135145"/>
                    </a:xfrm>
                    <a:prstGeom prst="rect"/>
                  </pic:spPr>
                </pic:pic>
              </a:graphicData>
            </a:graphic>
          </wp:inline>
        </w:drawing>
      </w:r>
    </w:p>
    <w:p>
      <w:pPr>
        <w:pStyle w:val="Caption2"/>
        <w:jc w:val="center"/>
      </w:pPr>
      <w:r>
        <w:t>Abbildung 19: Contact-Seite mit Projekt-Stammdaten und Hinweis auf Fehlermeldungen (Quelle: BT Fig. 41). Navigationspfad: Header-Link „Kontakt” → Route /contact.</w:t>
      </w:r>
    </w:p>
    <w:p>
      <w:pPr>
        <w:jc w:val="center"/>
      </w:pPr>
      <w:r>
        <w:drawing>
          <wp:inline xmlns:a="http://schemas.openxmlformats.org/drawingml/2006/main" xmlns:pic="http://schemas.openxmlformats.org/drawingml/2006/picture">
            <wp:extent cx="5580000" cy="3149849"/>
            <wp:docPr id="20" name="Picture 20"/>
            <wp:cNvGraphicFramePr>
              <a:graphicFrameLocks noChangeAspect="1"/>
            </wp:cNvGraphicFramePr>
            <a:graphic>
              <a:graphicData uri="http://schemas.openxmlformats.org/drawingml/2006/picture">
                <pic:pic>
                  <pic:nvPicPr>
                    <pic:cNvPr id="0" name="fig42-contact-feedback-form.jpg"/>
                    <pic:cNvPicPr/>
                  </pic:nvPicPr>
                  <pic:blipFill>
                    <a:blip r:embed="rId29"/>
                    <a:stretch>
                      <a:fillRect/>
                    </a:stretch>
                  </pic:blipFill>
                  <pic:spPr>
                    <a:xfrm>
                      <a:off x="0" y="0"/>
                      <a:ext cx="5580000" cy="3149849"/>
                    </a:xfrm>
                    <a:prstGeom prst="rect"/>
                  </pic:spPr>
                </pic:pic>
              </a:graphicData>
            </a:graphic>
          </wp:inline>
        </w:drawing>
      </w:r>
    </w:p>
    <w:p>
      <w:pPr>
        <w:pStyle w:val="Caption2"/>
        <w:jc w:val="center"/>
      </w:pPr>
      <w:r>
        <w:t>Abbildung 20: Feedback-Formular auf der Contact-Seite (baut client-seitig einen mailto:-Link, kein eigener Backend-Versand) (Quelle: BT Fig. 42). Navigationspfad: /contact → Formular-Bereich unterhalb der Projekt-Stammdaten.</w:t>
      </w:r>
    </w:p>
    <w:p>
      <w:pPr>
        <w:pStyle w:val="Heading2"/>
      </w:pPr>
      <w:r>
        <w:t>11.7 Report-Seite (nur für Entwickler/Betrieb)</w:t>
      </w:r>
    </w:p>
    <w:p>
      <w:r>
        <w:t>Unter /report liegt ein Live-Dashboard, das nicht für Endnutzer:innen gedacht ist, sondern für Entwickler:innen und für die Beurteilung des Scraping-Betriebs: eine Coverage-Matrix (Kurse je Anbieter und Methode), die letzten 30 Scraper-Läufe mit Status, sowie offene, noch nicht durch Self-Healing behobene Fehler. Die Seite ist serverseitig immer frisch gerendert (dynamic = 'force-dynamic', revalidate = 0) und nutzt denselben Realtime-Mechanismus wie die übrigen Seiten.</w:t>
      </w:r>
    </w:p>
    <w:p>
      <w:pPr>
        <w:spacing w:before="120" w:after="200"/>
        <w:ind w:left="227"/>
        <w:pBdr>
          <w:left w:val="single" w:sz="18" w:space="8" w:color="2F5496"/>
        </w:pBdr>
        <w:shd w:val="clear" w:color="auto" w:fill="EEF2FA"/>
      </w:pPr>
      <w:r>
        <w:rPr>
          <w:b/>
          <w:color w:val="2F5496"/>
        </w:rPr>
        <w:t xml:space="preserve">Hinweis: </w:t>
      </w:r>
      <w:r>
        <w:t>Für diese Seite existiert kein Screenshot in der BT (siehe Kapitel 2.2 und 17 – Offene Punkte). Sie ist über keinen Navigationslink erreichbar und muss direkt per URL (/de/report bzw. /en/report) aufgerufen werden.</w:t>
      </w:r>
    </w:p>
    <w:p>
      <w:pPr>
        <w:pStyle w:val="Heading1"/>
      </w:pPr>
      <w:r>
        <w:t>12. Datenzugriff</w:t>
      </w:r>
    </w:p>
    <w:p>
      <w: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pPr>
        <w:pStyle w:val="Heading2"/>
      </w:pPr>
      <w:r>
        <w:t>12.1 Zwei Supabase-Clients</w:t>
      </w:r>
    </w:p>
    <w:p>
      <w:pPr>
        <w:pStyle w:val="Caption2"/>
        <w:spacing w:after="40"/>
      </w:pPr>
      <w:r>
        <w:t>Tabelle 18: Die zwei Supabase-Clients</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Datei</w:t>
            </w:r>
          </w:p>
        </w:tc>
        <w:tc>
          <w:tcPr>
            <w:tcW w:type="dxa" w:w="3135"/>
            <w:shd w:val="clear" w:color="auto" w:fill="2F5496"/>
          </w:tcPr>
          <w:p>
            <w:r/>
            <w:r>
              <w:rPr>
                <w:b/>
                <w:color w:val="FFFFFF"/>
                <w:sz w:val="19"/>
              </w:rPr>
              <w:t>Kontext</w:t>
            </w:r>
          </w:p>
        </w:tc>
        <w:tc>
          <w:tcPr>
            <w:tcW w:type="dxa" w:w="3135"/>
            <w:shd w:val="clear" w:color="auto" w:fill="2F5496"/>
          </w:tcPr>
          <w:p>
            <w:r/>
            <w:r>
              <w:rPr>
                <w:b/>
                <w:color w:val="FFFFFF"/>
                <w:sz w:val="19"/>
              </w:rPr>
              <w:t>Zweck</w:t>
            </w:r>
          </w:p>
        </w:tc>
      </w:tr>
      <w:tr>
        <w:tc>
          <w:tcPr>
            <w:tcW w:type="dxa" w:w="3135"/>
          </w:tcPr>
          <w:p>
            <w:r/>
            <w:r>
              <w:rPr>
                <w:sz w:val="19"/>
              </w:rPr>
              <w:t>utils/supabase/server.ts</w:t>
            </w:r>
          </w:p>
        </w:tc>
        <w:tc>
          <w:tcPr>
            <w:tcW w:type="dxa" w:w="3135"/>
          </w:tcPr>
          <w:p>
            <w:r/>
            <w:r>
              <w:rPr>
                <w:sz w:val="19"/>
              </w:rPr>
              <w:t>Server Components (SSR)</w:t>
            </w:r>
          </w:p>
        </w:tc>
        <w:tc>
          <w:tcPr>
            <w:tcW w:type="dxa" w:w="3135"/>
          </w:tcPr>
          <w:p>
            <w:r/>
            <w:r>
              <w:rPr>
                <w:sz w:val="19"/>
              </w:rPr>
              <w:t>createServerSupabaseClient() liest Auth-Cookies aus, damit serverseitige Anfragen dieselbe Session wie der Browser haben</w:t>
            </w:r>
          </w:p>
        </w:tc>
      </w:tr>
      <w:tr>
        <w:tc>
          <w:tcPr>
            <w:tcW w:type="dxa" w:w="3135"/>
          </w:tcPr>
          <w:p>
            <w:r/>
            <w:r>
              <w:rPr>
                <w:sz w:val="19"/>
              </w:rPr>
              <w:t>utils/supabase/client.ts</w:t>
            </w:r>
          </w:p>
        </w:tc>
        <w:tc>
          <w:tcPr>
            <w:tcW w:type="dxa" w:w="3135"/>
          </w:tcPr>
          <w:p>
            <w:r/>
            <w:r>
              <w:rPr>
                <w:sz w:val="19"/>
              </w:rPr>
              <w:t>Client Components</w:t>
            </w:r>
          </w:p>
        </w:tc>
        <w:tc>
          <w:tcPr>
            <w:tcW w:type="dxa" w:w="3135"/>
          </w:tcPr>
          <w:p>
            <w:r/>
            <w:r>
              <w:rPr>
                <w:sz w:val="19"/>
              </w:rPr>
              <w:t>Browser-seitiger Client, u. a. für die Realtime-Subscription</w:t>
            </w:r>
          </w:p>
        </w:tc>
      </w:tr>
    </w:tbl>
    <w:p>
      <w:pPr>
        <w:spacing w:after="200"/>
      </w:pPr>
    </w:p>
    <w:p>
      <w:pPr>
        <w:pStyle w:val="Heading2"/>
      </w:pPr>
      <w:r>
        <w:t>12.2 Locale-Routing (Middleware)</w:t>
      </w:r>
    </w:p>
    <w:p>
      <w: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pPr>
        <w:pStyle w:val="Heading2"/>
      </w:pPr>
      <w:r>
        <w:t>12.3 Realtime-Updates</w:t>
      </w:r>
    </w:p>
    <w:p>
      <w:r>
        <w:t>hooks/useRealtimeProviders.ts abonniert per Supabase Realtime Änderungen (postgres_changes, event: '*') auf den drei zentralen Tabellen courses, GymiProviders und CourseDetails. Bei jeder Änderung wird lastUpdate gesetzt und router.refresh() aufgerufen, was Next.js zwingt, die Server-Component-Daten neu zu laden. Dadurch zeigen offene Browser-Tabs frisch gescrapte Daten an, ohne dass Nutzer:innen manuell neu laden müssen – sichtbar am „Live“-Indikator (RealtimeIndicator-Komponente) in der Kopfzeile.</w:t>
      </w:r>
    </w:p>
    <w:p>
      <w:pPr>
        <w:pStyle w:val="Heading1"/>
      </w:pPr>
      <w:r>
        <w:t>13. Testing</w:t>
      </w:r>
    </w:p>
    <w:p>
      <w:r>
        <w:t>Die Test-Infrastruktur ist vollständig eingerichtet, wird aber aktuell nicht genutzt: Es existiert keine einzige Testdatei im Repository (weder *.test.* noch *.spec.* noch ein __tests__/-Ordner, überprüft über das gesamte Projekt). Dieser Zustand ist in der Bachelorarbeit nicht thematisiert – es gibt dort kein eigenes Testing-Kapitel.</w:t>
      </w:r>
    </w:p>
    <w:p>
      <w:pPr>
        <w:pStyle w:val="Heading2"/>
      </w:pPr>
      <w:r>
        <w:t>13.1 Vorhandene Konfiguration</w:t>
      </w:r>
    </w:p>
    <w:p>
      <w:pPr>
        <w:pStyle w:val="ListBullet"/>
      </w:pPr>
      <w:r>
        <w:t>jest.config.js: ts-jest-Preset, jsdom-Testumgebung, Pfad-Alias @/ auf das Projekt-Root gemappt.</w:t>
      </w:r>
    </w:p>
    <w:p>
      <w:pPr>
        <w:pStyle w:val="ListBullet"/>
      </w:pPr>
      <w:r>
        <w:t>testPathIgnorePatterns schliesst /scraping/ explizit aus – Python-Scraper sind nicht Teil des Jest-Laufs (und hätten ohnehin ein eigenes Python-Test-Setup wie pytest nötig, das ebenfalls nicht existiert).</w:t>
      </w:r>
    </w:p>
    <w:p>
      <w:pPr>
        <w:pStyle w:val="ListBullet"/>
      </w:pPr>
      <w:r>
        <w:t>@testing-library/react und @testing-library/jest-dom sind als devDependencies vorhanden.</w:t>
      </w:r>
    </w:p>
    <w:p>
      <w:pPr>
        <w:pStyle w:val="ListBullet"/>
      </w:pPr>
      <w:r>
        <w:t>npm-Skripte: npm test (jest), npm run clear_jest (jest --clearCache).</w:t>
      </w:r>
    </w:p>
    <w:p>
      <w:pPr>
        <w:pStyle w:val="Code"/>
        <w:shd w:val="clear" w:color="auto" w:fill="F2F2F2"/>
        <w:pBdr>
          <w:top w:val="single" w:sz="4" w:space="4" w:color="CCCCCC"/>
          <w:left w:val="single" w:sz="4" w:space="4" w:color="CCCCCC"/>
          <w:bottom w:val="single" w:sz="4" w:space="4" w:color="CCCCCC"/>
          <w:right w:val="single" w:sz="4" w:space="4" w:color="CCCCCC"/>
        </w:pBdr>
      </w:pPr>
      <w:r>
        <w:t>npm test          # aktuell: "No tests found"</w:t>
      </w:r>
    </w:p>
    <w:p>
      <w:pPr>
        <w:spacing w:before="120" w:after="200"/>
        <w:ind w:left="227"/>
        <w:pBdr>
          <w:left w:val="single" w:sz="18" w:space="8" w:color="2F5496"/>
        </w:pBdr>
        <w:shd w:val="clear" w:color="auto" w:fill="EEF2FA"/>
      </w:pPr>
      <w:r>
        <w:rPr>
          <w:b/>
          <w:color w:val="2F5496"/>
        </w:rPr>
        <w:t xml:space="preserve">Hinweis: </w:t>
      </w:r>
      <w:r>
        <w:t>Für neue Entwickler:innen: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pPr>
        <w:pStyle w:val="Heading1"/>
      </w:pPr>
      <w:r>
        <w:t>14. CI/CD &amp; automatisierte Workflows</w:t>
      </w:r>
    </w:p>
    <w:p>
      <w: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pPr>
        <w:pStyle w:val="Caption2"/>
        <w:spacing w:after="40"/>
      </w:pPr>
      <w:r>
        <w:t>Tabelle 19: GitHub-Actions-Workflows</w:t>
      </w:r>
    </w:p>
    <w:tbl>
      <w:tblPr>
        <w:tblStyle w:val="LightGrid-Accent1"/>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2F5496"/>
          </w:tcPr>
          <w:p>
            <w:r/>
            <w:r>
              <w:rPr>
                <w:b/>
                <w:color w:val="FFFFFF"/>
                <w:sz w:val="19"/>
              </w:rPr>
              <w:t>Workflow</w:t>
            </w:r>
          </w:p>
        </w:tc>
        <w:tc>
          <w:tcPr>
            <w:tcW w:type="dxa" w:w="2351"/>
            <w:shd w:val="clear" w:color="auto" w:fill="2F5496"/>
          </w:tcPr>
          <w:p>
            <w:r/>
            <w:r>
              <w:rPr>
                <w:b/>
                <w:color w:val="FFFFFF"/>
                <w:sz w:val="19"/>
              </w:rPr>
              <w:t>Datei</w:t>
            </w:r>
          </w:p>
        </w:tc>
        <w:tc>
          <w:tcPr>
            <w:tcW w:type="dxa" w:w="2351"/>
            <w:shd w:val="clear" w:color="auto" w:fill="2F5496"/>
          </w:tcPr>
          <w:p>
            <w:r/>
            <w:r>
              <w:rPr>
                <w:b/>
                <w:color w:val="FFFFFF"/>
                <w:sz w:val="19"/>
              </w:rPr>
              <w:t>Zeitplan</w:t>
            </w:r>
          </w:p>
        </w:tc>
        <w:tc>
          <w:tcPr>
            <w:tcW w:type="dxa" w:w="2351"/>
            <w:shd w:val="clear" w:color="auto" w:fill="2F5496"/>
          </w:tcPr>
          <w:p>
            <w:r/>
            <w:r>
              <w:rPr>
                <w:b/>
                <w:color w:val="FFFFFF"/>
                <w:sz w:val="19"/>
              </w:rPr>
              <w:t>Zweck</w:t>
            </w:r>
          </w:p>
        </w:tc>
      </w:tr>
      <w:tr>
        <w:tc>
          <w:tcPr>
            <w:tcW w:type="dxa" w:w="2351"/>
          </w:tcPr>
          <w:p>
            <w:r/>
            <w:r>
              <w:rPr>
                <w:sz w:val="19"/>
              </w:rPr>
              <w:t>Self-Healing (nightly)</w:t>
            </w:r>
          </w:p>
        </w:tc>
        <w:tc>
          <w:tcPr>
            <w:tcW w:type="dxa" w:w="2351"/>
          </w:tcPr>
          <w:p>
            <w:r/>
            <w:r>
              <w:rPr>
                <w:sz w:val="19"/>
              </w:rPr>
              <w:t>.github/workflows/self-healing-nightly.yml</w:t>
            </w:r>
          </w:p>
        </w:tc>
        <w:tc>
          <w:tcPr>
            <w:tcW w:type="dxa" w:w="2351"/>
          </w:tcPr>
          <w:p>
            <w:r/>
            <w:r>
              <w:rPr>
                <w:sz w:val="19"/>
              </w:rPr>
              <w:t>täglich 03:00 UTC (+ manuell auslösbar)</w:t>
            </w:r>
          </w:p>
        </w:tc>
        <w:tc>
          <w:tcPr>
            <w:tcW w:type="dxa" w:w="2351"/>
          </w:tcPr>
          <w:p>
            <w:r/>
            <w:r>
              <w:rPr>
                <w:sz w:val="19"/>
              </w:rPr>
              <w:t>Repariert Scraper-Fehler automatisch (siehe Kapitel 7)</w:t>
            </w:r>
          </w:p>
        </w:tc>
      </w:tr>
      <w:tr>
        <w:tc>
          <w:tcPr>
            <w:tcW w:type="dxa" w:w="2351"/>
          </w:tcPr>
          <w:p>
            <w:r/>
            <w:r>
              <w:rPr>
                <w:sz w:val="19"/>
              </w:rPr>
              <w:t>ZAP-Scraper (monthly)</w:t>
            </w:r>
          </w:p>
        </w:tc>
        <w:tc>
          <w:tcPr>
            <w:tcW w:type="dxa" w:w="2351"/>
          </w:tcPr>
          <w:p>
            <w:r/>
            <w:r>
              <w:rPr>
                <w:sz w:val="19"/>
              </w:rPr>
              <w:t>.github/workflows/zap-scraper-monthly.yml</w:t>
            </w:r>
          </w:p>
        </w:tc>
        <w:tc>
          <w:tcPr>
            <w:tcW w:type="dxa" w:w="2351"/>
          </w:tcPr>
          <w:p>
            <w:r/>
            <w:r>
              <w:rPr>
                <w:sz w:val="19"/>
              </w:rPr>
              <w:t>1. jedes Monats, 04:00 UTC (+ manuell auslösbar)</w:t>
            </w:r>
          </w:p>
        </w:tc>
        <w:tc>
          <w:tcPr>
            <w:tcW w:type="dxa" w:w="2351"/>
          </w:tcPr>
          <w:p>
            <w:r/>
            <w:r>
              <w:rPr>
                <w:sz w:val="19"/>
              </w:rPr>
              <w:t>Aktualisiert offizielle ZAP-Prüfungstermine (siehe Kapitel 8)</w:t>
            </w:r>
          </w:p>
        </w:tc>
      </w:tr>
    </w:tbl>
    <w:p>
      <w:pPr>
        <w:spacing w:after="200"/>
      </w:pPr>
    </w:p>
    <w:p>
      <w:pPr>
        <w:pStyle w:val="Heading2"/>
      </w:pPr>
      <w:r>
        <w:t>14.1 npm-Skripte im Überblick</w:t>
      </w:r>
    </w:p>
    <w:p>
      <w:pPr>
        <w:pStyle w:val="Caption2"/>
        <w:spacing w:after="40"/>
      </w:pPr>
      <w:r>
        <w:t>Tabelle 20: npm-Skripte im Überblick</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Skript</w:t>
            </w:r>
          </w:p>
        </w:tc>
        <w:tc>
          <w:tcPr>
            <w:tcW w:type="dxa" w:w="3135"/>
            <w:shd w:val="clear" w:color="auto" w:fill="2F5496"/>
          </w:tcPr>
          <w:p>
            <w:r/>
            <w:r>
              <w:rPr>
                <w:b/>
                <w:color w:val="FFFFFF"/>
                <w:sz w:val="19"/>
              </w:rPr>
              <w:t>Befehl (aus package.json)</w:t>
            </w:r>
          </w:p>
        </w:tc>
        <w:tc>
          <w:tcPr>
            <w:tcW w:type="dxa" w:w="3135"/>
            <w:shd w:val="clear" w:color="auto" w:fill="2F5496"/>
          </w:tcPr>
          <w:p>
            <w:r/>
            <w:r>
              <w:rPr>
                <w:b/>
                <w:color w:val="FFFFFF"/>
                <w:sz w:val="19"/>
              </w:rPr>
              <w:t>Zweck</w:t>
            </w:r>
          </w:p>
        </w:tc>
      </w:tr>
      <w:tr>
        <w:tc>
          <w:tcPr>
            <w:tcW w:type="dxa" w:w="3135"/>
          </w:tcPr>
          <w:p>
            <w:r/>
            <w:r>
              <w:rPr>
                <w:sz w:val="19"/>
              </w:rPr>
              <w:t>dev</w:t>
            </w:r>
          </w:p>
        </w:tc>
        <w:tc>
          <w:tcPr>
            <w:tcW w:type="dxa" w:w="3135"/>
          </w:tcPr>
          <w:p>
            <w:r/>
            <w:r>
              <w:rPr>
                <w:sz w:val="19"/>
              </w:rPr>
              <w:t>next dev</w:t>
            </w:r>
          </w:p>
        </w:tc>
        <w:tc>
          <w:tcPr>
            <w:tcW w:type="dxa" w:w="3135"/>
          </w:tcPr>
          <w:p>
            <w:r/>
            <w:r>
              <w:rPr>
                <w:sz w:val="19"/>
              </w:rPr>
              <w:t>Entwicklungsserver</w:t>
            </w:r>
          </w:p>
        </w:tc>
      </w:tr>
      <w:tr>
        <w:tc>
          <w:tcPr>
            <w:tcW w:type="dxa" w:w="3135"/>
          </w:tcPr>
          <w:p>
            <w:r/>
            <w:r>
              <w:rPr>
                <w:sz w:val="19"/>
              </w:rPr>
              <w:t>build</w:t>
            </w:r>
          </w:p>
        </w:tc>
        <w:tc>
          <w:tcPr>
            <w:tcW w:type="dxa" w:w="3135"/>
          </w:tcPr>
          <w:p>
            <w:r/>
            <w:r>
              <w:rPr>
                <w:sz w:val="19"/>
              </w:rPr>
              <w:t>next build</w:t>
            </w:r>
          </w:p>
        </w:tc>
        <w:tc>
          <w:tcPr>
            <w:tcW w:type="dxa" w:w="3135"/>
          </w:tcPr>
          <w:p>
            <w:r/>
            <w:r>
              <w:rPr>
                <w:sz w:val="19"/>
              </w:rPr>
              <w:t>Produktions-Build</w:t>
            </w:r>
          </w:p>
        </w:tc>
      </w:tr>
      <w:tr>
        <w:tc>
          <w:tcPr>
            <w:tcW w:type="dxa" w:w="3135"/>
          </w:tcPr>
          <w:p>
            <w:r/>
            <w:r>
              <w:rPr>
                <w:sz w:val="19"/>
              </w:rPr>
              <w:t>start</w:t>
            </w:r>
          </w:p>
        </w:tc>
        <w:tc>
          <w:tcPr>
            <w:tcW w:type="dxa" w:w="3135"/>
          </w:tcPr>
          <w:p>
            <w:r/>
            <w:r>
              <w:rPr>
                <w:sz w:val="19"/>
              </w:rPr>
              <w:t>next start</w:t>
            </w:r>
          </w:p>
        </w:tc>
        <w:tc>
          <w:tcPr>
            <w:tcW w:type="dxa" w:w="3135"/>
          </w:tcPr>
          <w:p>
            <w:r/>
            <w:r>
              <w:rPr>
                <w:sz w:val="19"/>
              </w:rPr>
              <w:t>Produktions-Server</w:t>
            </w:r>
          </w:p>
        </w:tc>
      </w:tr>
      <w:tr>
        <w:tc>
          <w:tcPr>
            <w:tcW w:type="dxa" w:w="3135"/>
          </w:tcPr>
          <w:p>
            <w:r/>
            <w:r>
              <w:rPr>
                <w:sz w:val="19"/>
              </w:rPr>
              <w:t>test</w:t>
            </w:r>
          </w:p>
        </w:tc>
        <w:tc>
          <w:tcPr>
            <w:tcW w:type="dxa" w:w="3135"/>
          </w:tcPr>
          <w:p>
            <w:r/>
            <w:r>
              <w:rPr>
                <w:sz w:val="19"/>
              </w:rPr>
              <w:t>jest</w:t>
            </w:r>
          </w:p>
        </w:tc>
        <w:tc>
          <w:tcPr>
            <w:tcW w:type="dxa" w:w="3135"/>
          </w:tcPr>
          <w:p>
            <w:r/>
            <w:r>
              <w:rPr>
                <w:sz w:val="19"/>
              </w:rPr>
              <w:t>Test-Suite (aktuell leer, siehe Kap. 12)</w:t>
            </w:r>
          </w:p>
        </w:tc>
      </w:tr>
      <w:tr>
        <w:tc>
          <w:tcPr>
            <w:tcW w:type="dxa" w:w="3135"/>
          </w:tcPr>
          <w:p>
            <w:r/>
            <w:r>
              <w:rPr>
                <w:sz w:val="19"/>
              </w:rPr>
              <w:t>clear_jest</w:t>
            </w:r>
          </w:p>
        </w:tc>
        <w:tc>
          <w:tcPr>
            <w:tcW w:type="dxa" w:w="3135"/>
          </w:tcPr>
          <w:p>
            <w:r/>
            <w:r>
              <w:rPr>
                <w:sz w:val="19"/>
              </w:rPr>
              <w:t>jest --clearCache</w:t>
            </w:r>
          </w:p>
        </w:tc>
        <w:tc>
          <w:tcPr>
            <w:tcW w:type="dxa" w:w="3135"/>
          </w:tcPr>
          <w:p>
            <w:r/>
            <w:r>
              <w:rPr>
                <w:sz w:val="19"/>
              </w:rPr>
              <w:t>Jest-Cache leeren</w:t>
            </w:r>
          </w:p>
        </w:tc>
      </w:tr>
      <w:tr>
        <w:tc>
          <w:tcPr>
            <w:tcW w:type="dxa" w:w="3135"/>
          </w:tcPr>
          <w:p>
            <w:r/>
            <w:r>
              <w:rPr>
                <w:sz w:val="19"/>
              </w:rPr>
              <w:t>generate</w:t>
            </w:r>
          </w:p>
        </w:tc>
        <w:tc>
          <w:tcPr>
            <w:tcW w:type="dxa" w:w="3135"/>
          </w:tcPr>
          <w:p>
            <w:r/>
            <w:r>
              <w:rPr>
                <w:sz w:val="19"/>
              </w:rPr>
              <w:t>npx supabase gen types --lang=typescript --project-id epiekraadwkxbtadzhnp --schema public &gt; database.types.ts</w:t>
            </w:r>
          </w:p>
        </w:tc>
        <w:tc>
          <w:tcPr>
            <w:tcW w:type="dxa" w:w="3135"/>
          </w:tcPr>
          <w:p>
            <w:r/>
            <w:r>
              <w:rPr>
                <w:sz w:val="19"/>
              </w:rPr>
              <w:t>Regeneriert TypeScript-Typen aus dem Live-Supabase-Schema</w:t>
            </w:r>
          </w:p>
        </w:tc>
      </w:tr>
      <w:tr>
        <w:tc>
          <w:tcPr>
            <w:tcW w:type="dxa" w:w="3135"/>
          </w:tcPr>
          <w:p>
            <w:r/>
            <w:r>
              <w:rPr>
                <w:sz w:val="19"/>
              </w:rPr>
              <w:t>scrape:all</w:t>
            </w:r>
          </w:p>
        </w:tc>
        <w:tc>
          <w:tcPr>
            <w:tcW w:type="dxa" w:w="3135"/>
          </w:tcPr>
          <w:p>
            <w:r/>
            <w:r>
              <w:rPr>
                <w:sz w:val="19"/>
              </w:rPr>
              <w:t>concurrently "ts-node ... avidiiScraper.ts" "..." (5x)</w:t>
            </w:r>
          </w:p>
        </w:tc>
        <w:tc>
          <w:tcPr>
            <w:tcW w:type="dxa" w:w="3135"/>
          </w:tcPr>
          <w:p>
            <w:r/>
            <w:r>
              <w:rPr>
                <w:sz w:val="19"/>
              </w:rPr>
              <w:t>Alle 5 Puppeteer-Scraper parallel (siehe Kap. 6.1)</w:t>
            </w:r>
          </w:p>
        </w:tc>
      </w:tr>
    </w:tbl>
    <w:p>
      <w:pPr>
        <w:spacing w:after="200"/>
      </w:pPr>
    </w:p>
    <w:p>
      <w:pPr>
        <w:pStyle w:val="Heading1"/>
      </w:pPr>
      <w:r>
        <w:t>15. Troubleshooting &amp; bekannte Probleme</w:t>
      </w:r>
    </w:p>
    <w:p>
      <w: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pPr>
        <w:pStyle w:val="Caption2"/>
        <w:spacing w:after="40"/>
      </w:pPr>
      <w:r>
        <w:t>Tabelle 21: Bekannte Probleme und Lösungen</w:t>
      </w:r>
    </w:p>
    <w:tbl>
      <w:tblPr>
        <w:tblStyle w:val="LightGrid-Accent1"/>
        <w:tblW w:type="auto" w:w="0"/>
        <w:jc w:val="left"/>
        <w:tblLayout w:type="autofit"/>
        <w:tblLook w:firstColumn="1" w:firstRow="1" w:lastColumn="0" w:lastRow="0" w:noHBand="0" w:noVBand="1" w:val="04A0"/>
      </w:tblPr>
      <w:tblGrid>
        <w:gridCol w:w="3135"/>
        <w:gridCol w:w="3135"/>
        <w:gridCol w:w="3135"/>
      </w:tblGrid>
      <w:tr>
        <w:tc>
          <w:tcPr>
            <w:tcW w:type="dxa" w:w="3135"/>
            <w:shd w:val="clear" w:color="auto" w:fill="2F5496"/>
          </w:tcPr>
          <w:p>
            <w:r/>
            <w:r>
              <w:rPr>
                <w:b/>
                <w:color w:val="FFFFFF"/>
                <w:sz w:val="19"/>
              </w:rPr>
              <w:t>Problem</w:t>
            </w:r>
          </w:p>
        </w:tc>
        <w:tc>
          <w:tcPr>
            <w:tcW w:type="dxa" w:w="3135"/>
            <w:shd w:val="clear" w:color="auto" w:fill="2F5496"/>
          </w:tcPr>
          <w:p>
            <w:r/>
            <w:r>
              <w:rPr>
                <w:b/>
                <w:color w:val="FFFFFF"/>
                <w:sz w:val="19"/>
              </w:rPr>
              <w:t>Ursache</w:t>
            </w:r>
          </w:p>
        </w:tc>
        <w:tc>
          <w:tcPr>
            <w:tcW w:type="dxa" w:w="3135"/>
            <w:shd w:val="clear" w:color="auto" w:fill="2F5496"/>
          </w:tcPr>
          <w:p>
            <w:r/>
            <w:r>
              <w:rPr>
                <w:b/>
                <w:color w:val="FFFFFF"/>
                <w:sz w:val="19"/>
              </w:rPr>
              <w:t>Lösung</w:t>
            </w:r>
          </w:p>
        </w:tc>
      </w:tr>
      <w:tr>
        <w:tc>
          <w:tcPr>
            <w:tcW w:type="dxa" w:w="3135"/>
          </w:tcPr>
          <w:p>
            <w:r/>
            <w:r>
              <w:rPr>
                <w:sz w:val="19"/>
              </w:rPr>
              <w:t>python run_all_scrapers.py / run_all_brightdata.py: „No such file or directory“</w:t>
            </w:r>
          </w:p>
        </w:tc>
        <w:tc>
          <w:tcPr>
            <w:tcW w:type="dxa" w:w="3135"/>
          </w:tcPr>
          <w:p>
            <w:r/>
            <w:r>
              <w:rPr>
                <w:sz w:val="19"/>
              </w:rPr>
              <w:t>Die Skripte bauten Datei-Pfade relativ zum aktuellen Arbeitsverzeichnis statt zum eigenen Skript-Ordner.</w:t>
            </w:r>
          </w:p>
        </w:tc>
        <w:tc>
          <w:tcPr>
            <w:tcW w:type="dxa" w:w="3135"/>
          </w:tcPr>
          <w:p>
            <w:r/>
            <w:r>
              <w:rPr>
                <w:sz w:val="19"/>
              </w:rPr>
              <w:t>Behoben: Beide Skripte lösen Pfade jetzt über os.path.dirname(os.path.abspath(__file__)) auf und funktionieren unabhängig vom Startverzeichnis.</w:t>
            </w:r>
          </w:p>
        </w:tc>
      </w:tr>
      <w:tr>
        <w:tc>
          <w:tcPr>
            <w:tcW w:type="dxa" w:w="3135"/>
          </w:tcPr>
          <w:p>
            <w:r/>
            <w:r>
              <w:rPr>
                <w:sz w:val="19"/>
              </w:rPr>
              <w:t>ModuleNotFoundError: No module named 'scrapegraphai' / 'openai' / 'pypdf'</w:t>
            </w:r>
          </w:p>
        </w:tc>
        <w:tc>
          <w:tcPr>
            <w:tcW w:type="dxa" w:w="3135"/>
          </w:tcPr>
          <w:p>
            <w:r/>
            <w:r>
              <w:rPr>
                <w:sz w:val="19"/>
              </w:rPr>
              <w:t>Paket war nicht in der aktiven venv installiert, bzw. fehlte in der jeweiligen requirements.txt (pypdf für ScrapeGraphAI; openai/langchain-openai für Bright Data, da scrape_utils.py sie beim Import lädt).</w:t>
            </w:r>
          </w:p>
        </w:tc>
        <w:tc>
          <w:tcPr>
            <w:tcW w:type="dxa" w:w="3135"/>
          </w:tcPr>
          <w:p>
            <w:r/>
            <w:r>
              <w:rPr>
                <w:sz w:val="19"/>
              </w:rPr>
              <w:t>pip install -r requirements.txt in der richtigen, projektspezifischen venv ausführen. Beide requirements.txt-Dateien wurden inzwischen ergänzt.</w:t>
            </w:r>
          </w:p>
        </w:tc>
      </w:tr>
      <w:tr>
        <w:tc>
          <w:tcPr>
            <w:tcW w:type="dxa" w:w="3135"/>
          </w:tcPr>
          <w:p>
            <w:r/>
            <w:r>
              <w:rPr>
                <w:sz w:val="19"/>
              </w:rPr>
              <w:t>pip-Abhängigkeitskonflikte (ERROR: pip's dependency resolver...) beim Installieren</w:t>
            </w:r>
          </w:p>
        </w:tc>
        <w:tc>
          <w:tcPr>
            <w:tcW w:type="dxa" w:w="3135"/>
          </w:tcPr>
          <w:p>
            <w:r/>
            <w:r>
              <w:rPr>
                <w:sz w:val="19"/>
              </w:rPr>
              <w:t>Installation erfolgte in die globale Python-Umgebung statt in eine projekteigene venv; andere global installierte Pakete (z. B. headroom-ai, mistralai, trafilatura) haben abweichende Versionsanforderungen.</w:t>
            </w:r>
          </w:p>
        </w:tc>
        <w:tc>
          <w:tcPr>
            <w:tcW w:type="dxa" w:w="3135"/>
          </w:tcPr>
          <w:p>
            <w:r/>
            <w:r>
              <w:rPr>
                <w:sz w:val="19"/>
              </w:rPr>
              <w:t>Immer projektspezifische venvs verwenden (siehe Kapitel 3.4), nie in die globale Python-Installation installieren.</w:t>
            </w:r>
          </w:p>
        </w:tc>
      </w:tr>
      <w:tr>
        <w:tc>
          <w:tcPr>
            <w:tcW w:type="dxa" w:w="3135"/>
          </w:tcPr>
          <w:p>
            <w:r/>
            <w:r>
              <w:rPr>
                <w:sz w:val="19"/>
              </w:rPr>
              <w:t>requirements.txt sieht beim Öffnen wie Kauderwelsch mit Leerzeichen zwischen jedem Zeichen aus</w:t>
            </w:r>
          </w:p>
        </w:tc>
        <w:tc>
          <w:tcPr>
            <w:tcW w:type="dxa" w:w="3135"/>
          </w:tcPr>
          <w:p>
            <w:r/>
            <w:r>
              <w:rPr>
                <w:sz w:val="19"/>
              </w:rPr>
              <w:t>Die Datei ist als UTF-16 statt UTF-8 gespeichert (Artefakt der Werkzeugkette, mit der sie erzeugt wurde).</w:t>
            </w:r>
          </w:p>
        </w:tc>
        <w:tc>
          <w:tcPr>
            <w:tcW w:type="dxa" w:w="3135"/>
          </w:tcPr>
          <w:p>
            <w:r/>
            <w:r>
              <w:rPr>
                <w:sz w:val="19"/>
              </w:rPr>
              <w:t>Kein Fehler – pip liest die Datei korrekt. Nur beim manuellen Bearbeiten mit Editoren ohne automatische Encoding-Erkennung auf UTF-16 achten.</w:t>
            </w:r>
          </w:p>
        </w:tc>
      </w:tr>
      <w:tr>
        <w:tc>
          <w:tcPr>
            <w:tcW w:type="dxa" w:w="3135"/>
          </w:tcPr>
          <w:p>
            <w:r/>
            <w:r>
              <w:rPr>
                <w:sz w:val="19"/>
              </w:rPr>
              <w:t>BFH LLM nicht erreichbar: Request timed out (VPN aktiv? API-Key korrekt?)</w:t>
            </w:r>
          </w:p>
        </w:tc>
        <w:tc>
          <w:tcPr>
            <w:tcW w:type="dxa" w:w="3135"/>
          </w:tcPr>
          <w:p>
            <w:r/>
            <w:r>
              <w:rPr>
                <w:sz w:val="19"/>
              </w:rPr>
              <w:t>Das BFH-LLM-Gateway (inference.mlmp.ti.bfh.ch) ist eine interne BFH-Adresse, nur aus dem Campusnetz oder per BFH-VPN erreichbar. Ein reiner Timeout (statt 401/403) deutet auf ein Netzwerk-, nicht auf ein Auth-Problem hin.</w:t>
            </w:r>
          </w:p>
        </w:tc>
        <w:tc>
          <w:tcPr>
            <w:tcW w:type="dxa" w:w="3135"/>
          </w:tcPr>
          <w:p>
            <w:r/>
            <w:r>
              <w:rPr>
                <w:sz w:val="19"/>
              </w:rPr>
              <w:t>Mit dem BFH-VPN verbinden, dann Erreichbarkeit prüfen. Ohne BFH-Zugang: Kontakt gemäss README (martt8@bfh.ch) für Alternativen.</w:t>
            </w:r>
          </w:p>
        </w:tc>
      </w:tr>
      <w:tr>
        <w:tc>
          <w:tcPr>
            <w:tcW w:type="dxa" w:w="3135"/>
          </w:tcPr>
          <w:p>
            <w:r/>
            <w:r>
              <w:rPr>
                <w:sz w:val="19"/>
              </w:rPr>
              <w:t>Bright-Data-Scraper laufen durch, liefern aber 0 Kurse (NO_COURSES_FOUND)</w:t>
            </w:r>
          </w:p>
        </w:tc>
        <w:tc>
          <w:tcPr>
            <w:tcW w:type="dxa" w:w="3135"/>
          </w:tcPr>
          <w:p>
            <w:r/>
            <w:r>
              <w:rPr>
                <w:sz w:val="19"/>
              </w:rPr>
              <w:t>Der jeweilige Bright-Data-Collector selbst liefert leere Ergebnisse (z. B. Learning Culture, Lern-Forum, Avidii in einem beobachteten Lauf) – das ist ein Problem in der externen Collector-Konfiguration, nicht im Projekt-Code.</w:t>
            </w:r>
          </w:p>
        </w:tc>
        <w:tc>
          <w:tcPr>
            <w:tcW w:type="dxa" w:w="3135"/>
          </w:tcPr>
          <w:p>
            <w:r/>
            <w:r>
              <w:rPr>
                <w:sz w:val="19"/>
              </w:rPr>
              <w:t>Im Bright-Data-Dashboard (brightdata.com/cp/data_collector/collector/...) den letzten Lauf/das Log des jeweiligen Collectors prüfen: Website-Struktur geändert? Rate-Limit? Falsche Collector-Konfiguration?</w:t>
            </w:r>
          </w:p>
        </w:tc>
      </w:tr>
      <w:tr>
        <w:tc>
          <w:tcPr>
            <w:tcW w:type="dxa" w:w="3135"/>
          </w:tcPr>
          <w:p>
            <w:r/>
            <w:r>
              <w:rPr>
                <w:sz w:val="19"/>
              </w:rPr>
              <w:t>Puppeteer findet chrome.exe nicht (puppeteer.launch() schlägt fehl)</w:t>
            </w:r>
          </w:p>
        </w:tc>
        <w:tc>
          <w:tcPr>
            <w:tcW w:type="dxa" w:w="3135"/>
          </w:tcPr>
          <w:p>
            <w:r/>
            <w:r>
              <w:rPr>
                <w:sz w:val="19"/>
              </w:rPr>
              <w:t>Unvollständige Chrome-Extraktion, z. B. durch Windows-Defender-Eingriff während des Entpackens.</w:t>
            </w:r>
          </w:p>
        </w:tc>
        <w:tc>
          <w:tcPr>
            <w:tcW w:type="dxa" w:w="3135"/>
          </w:tcPr>
          <w:p>
            <w:r/>
            <w:r>
              <w:rPr>
                <w:sz w:val="19"/>
              </w:rPr>
              <w:t>npx puppeteer browsers install chrome erneut ausführen; im Zweifel Cache-Ordner unter %USERPROFILE%\.cache\puppeteer\ prüfen und manuell mit Expand-Archive entpacken.</w:t>
            </w:r>
          </w:p>
        </w:tc>
      </w:tr>
      <w:tr>
        <w:tc>
          <w:tcPr>
            <w:tcW w:type="dxa" w:w="3135"/>
          </w:tcPr>
          <w:p>
            <w:r/>
            <w:r>
              <w:rPr>
                <w:sz w:val="19"/>
              </w:rPr>
              <w:t>cannot update table "CourseDetails" because it does not have a replica identity</w:t>
            </w:r>
          </w:p>
        </w:tc>
        <w:tc>
          <w:tcPr>
            <w:tcW w:type="dxa" w:w="3135"/>
          </w:tcPr>
          <w:p>
            <w:r/>
            <w:r>
              <w:rPr>
                <w:sz w:val="19"/>
              </w:rPr>
              <w:t>CourseDetails hatte keinen Primary Key, nur einen UNIQUE-Constraint – Postgres/Supabase Realtime kann UPDATEs ohne Replica Identity nicht replizieren (Fehler 55000).</w:t>
            </w:r>
          </w:p>
        </w:tc>
        <w:tc>
          <w:tcPr>
            <w:tcW w:type="dxa" w:w="3135"/>
          </w:tcPr>
          <w:p>
            <w:r/>
            <w:r>
              <w:rPr>
                <w:sz w:val="19"/>
              </w:rPr>
              <w:t>Behoben per ALTER TABLE "CourseDetails" REPLICA IDENTITY FULL; (siehe Kapitel 5.5 und docs/fix_course_details_replica_identity.sql).</w:t>
            </w:r>
          </w:p>
        </w:tc>
      </w:tr>
      <w:tr>
        <w:tc>
          <w:tcPr>
            <w:tcW w:type="dxa" w:w="3135"/>
          </w:tcPr>
          <w:p>
            <w:r/>
            <w:r>
              <w:rPr>
                <w:sz w:val="19"/>
              </w:rPr>
              <w:t>Verwechslung von venvs bei cd in PowerShell</w:t>
            </w:r>
          </w:p>
        </w:tc>
        <w:tc>
          <w:tcPr>
            <w:tcW w:type="dxa" w:w="3135"/>
          </w:tcPr>
          <w:p>
            <w:r/>
            <w:r>
              <w:rPr>
                <w:sz w:val="19"/>
              </w:rPr>
              <w:t>Relative cd-Befehle wurden versehentlich aus dem falschen Ausgangsordner ausgeführt (z. B. aus einer bereits aktiven venv heraus), wodurch Pakete in die falsche venv installiert wurden.</w:t>
            </w:r>
          </w:p>
        </w:tc>
        <w:tc>
          <w:tcPr>
            <w:tcW w:type="dxa" w:w="3135"/>
          </w:tcPr>
          <w:p>
            <w:r/>
            <w:r>
              <w:rPr>
                <w:sz w:val="19"/>
              </w:rPr>
              <w:t>Vor dem Wechsel in eine andere Scraper-venv immer zuerst deactivate ausführen und mit absoluten Pfaden arbeiten (siehe Kapitel 3.4).</w:t>
            </w:r>
          </w:p>
        </w:tc>
      </w:tr>
    </w:tbl>
    <w:p>
      <w:pPr>
        <w:spacing w:after="200"/>
      </w:pPr>
    </w:p>
    <w:p>
      <w:pPr>
        <w:pStyle w:val="Heading1"/>
      </w:pPr>
      <w:r>
        <w:t>16. Bekannte Limitationen</w:t>
      </w:r>
    </w:p>
    <w:p>
      <w:pPr>
        <w:pStyle w:val="ListBullet"/>
      </w:pPr>
      <w:r>
        <w:t>Bright Data deckt fünf Anbieter ab, davon liefern in der Praxis nicht immer alle fünf Collectors verlässlich Daten (siehe Kapitel 15).</w:t>
      </w:r>
    </w:p>
    <w:p>
      <w:pPr>
        <w:pStyle w:val="ListBullet"/>
      </w:pPr>
      <w:r>
        <w:t>ScrapeGraphAI-Scraper sind ohne BFH-Campusnetz/-VPN nicht lauffähig (siehe Kapitel 6.3, 15).</w:t>
      </w:r>
    </w:p>
    <w:p>
      <w:pPr>
        <w:pStyle w:val="ListBullet"/>
      </w:pPr>
      <w:r>
        <w:t>Fünf von acht Datenbanktabellen haben aktuell kein Row Level Security aktiviert (siehe Kapitel 5.4) – sicherheitsrelevant, noch nicht behoben.</w:t>
      </w:r>
    </w:p>
    <w:p>
      <w:pPr>
        <w:pStyle w:val="ListBullet"/>
      </w:pPr>
      <w:r>
        <w:t>Es existieren keine automatisierten Tests trotz vollständig eingerichteter Jest-Infrastruktur (siehe Kapitel 13).</w:t>
      </w:r>
    </w:p>
    <w:p>
      <w:pPr>
        <w:pStyle w:val="ListBullet"/>
      </w:pPr>
      <w:r>
        <w:t>Der Self-Healing-Rücklese-Mechanismus (Lesen reparierter Werte aus scraper_registry zur Laufzeit) ist erst für einen von zwölf ScrapeGraphAI-Scrapern (Avidii) tatsächlich verdrahtet (siehe Kapitel 5.3, 7.4).</w:t>
      </w:r>
    </w:p>
    <w:p>
      <w:pPr>
        <w:pStyle w:val="ListBullet"/>
      </w:pPr>
      <w:r>
        <w:t>Nachhilfe Akademie liefert seit dem Website-Redesign nur noch Pro-Lektion-Preise statt Gruppenkurs-Gesamtpreisen – nicht ohne Weiteres mit anderen Anbietern vergleichbar (siehe Kapitel 6.1).</w:t>
      </w:r>
    </w:p>
    <w:p>
      <w:pPr>
        <w:pStyle w:val="Heading1"/>
      </w:pPr>
      <w:r>
        <w:t>17. Anhang</w:t>
      </w:r>
    </w:p>
    <w:p>
      <w:pPr>
        <w:pStyle w:val="Heading2"/>
      </w:pPr>
      <w:r>
        <w:t>17.1 Glossar</w:t>
      </w:r>
    </w:p>
    <w:p>
      <w:pPr>
        <w:pStyle w:val="Caption2"/>
        <w:spacing w:after="40"/>
      </w:pPr>
      <w:r>
        <w:t>Tabelle 22: Glossar der Fachbegriffe</w:t>
      </w:r>
    </w:p>
    <w:tbl>
      <w:tblPr>
        <w:tblStyle w:val="LightGrid-Accent1"/>
        <w:tblW w:type="auto" w:w="0"/>
        <w:jc w:val="left"/>
        <w:tblLayout w:type="autofit"/>
        <w:tblLook w:firstColumn="1" w:firstRow="1" w:lastColumn="0" w:lastRow="0" w:noHBand="0" w:noVBand="1" w:val="04A0"/>
      </w:tblPr>
      <w:tblGrid>
        <w:gridCol w:w="4703"/>
        <w:gridCol w:w="4703"/>
      </w:tblGrid>
      <w:tr>
        <w:tc>
          <w:tcPr>
            <w:tcW w:type="dxa" w:w="4703"/>
            <w:shd w:val="clear" w:color="auto" w:fill="2F5496"/>
          </w:tcPr>
          <w:p>
            <w:r/>
            <w:r>
              <w:rPr>
                <w:b/>
                <w:color w:val="FFFFFF"/>
                <w:sz w:val="19"/>
              </w:rPr>
              <w:t>Begriff</w:t>
            </w:r>
          </w:p>
        </w:tc>
        <w:tc>
          <w:tcPr>
            <w:tcW w:type="dxa" w:w="4703"/>
            <w:shd w:val="clear" w:color="auto" w:fill="2F5496"/>
          </w:tcPr>
          <w:p>
            <w:r/>
            <w:r>
              <w:rPr>
                <w:b/>
                <w:color w:val="FFFFFF"/>
                <w:sz w:val="19"/>
              </w:rPr>
              <w:t>Bedeutung</w:t>
            </w:r>
          </w:p>
        </w:tc>
      </w:tr>
      <w:tr>
        <w:tc>
          <w:tcPr>
            <w:tcW w:type="dxa" w:w="4703"/>
          </w:tcPr>
          <w:p>
            <w:r/>
            <w:r>
              <w:rPr>
                <w:sz w:val="19"/>
              </w:rPr>
              <w:t>Gymi</w:t>
            </w:r>
          </w:p>
        </w:tc>
        <w:tc>
          <w:tcPr>
            <w:tcW w:type="dxa" w:w="4703"/>
          </w:tcPr>
          <w:p>
            <w:r/>
            <w:r>
              <w:rPr>
                <w:sz w:val="19"/>
              </w:rPr>
              <w:t>Umgangssprachlich für Gymnasium (Mittelschule) im Kanton Zürich</w:t>
            </w:r>
          </w:p>
        </w:tc>
      </w:tr>
      <w:tr>
        <w:tc>
          <w:tcPr>
            <w:tcW w:type="dxa" w:w="4703"/>
          </w:tcPr>
          <w:p>
            <w:r/>
            <w:r>
              <w:rPr>
                <w:sz w:val="19"/>
              </w:rPr>
              <w:t>ZAP</w:t>
            </w:r>
          </w:p>
        </w:tc>
        <w:tc>
          <w:tcPr>
            <w:tcW w:type="dxa" w:w="4703"/>
          </w:tcPr>
          <w:p>
            <w:r/>
            <w:r>
              <w:rPr>
                <w:sz w:val="19"/>
              </w:rPr>
              <w:t>Zentrale Aufnahmeprüfung fürs Gymnasium im Kanton Zürich</w:t>
            </w:r>
          </w:p>
        </w:tc>
      </w:tr>
      <w:tr>
        <w:tc>
          <w:tcPr>
            <w:tcW w:type="dxa" w:w="4703"/>
          </w:tcPr>
          <w:p>
            <w:r/>
            <w:r>
              <w:rPr>
                <w:sz w:val="19"/>
              </w:rPr>
              <w:t>Langgymi / Kurzgymi</w:t>
            </w:r>
          </w:p>
        </w:tc>
        <w:tc>
          <w:tcPr>
            <w:tcW w:type="dxa" w:w="4703"/>
          </w:tcPr>
          <w:p>
            <w:r/>
            <w:r>
              <w:rPr>
                <w:sz w:val="19"/>
              </w:rPr>
              <w:t>Langzeitgymnasium (ab 6. Klasse) bzw. Kurzzeitgymnasium (ab 2./3. Sek)</w:t>
            </w:r>
          </w:p>
        </w:tc>
      </w:tr>
      <w:tr>
        <w:tc>
          <w:tcPr>
            <w:tcW w:type="dxa" w:w="4703"/>
          </w:tcPr>
          <w:p>
            <w:r/>
            <w:r>
              <w:rPr>
                <w:sz w:val="19"/>
              </w:rPr>
              <w:t>MCDA</w:t>
            </w:r>
          </w:p>
        </w:tc>
        <w:tc>
          <w:tcPr>
            <w:tcW w:type="dxa" w:w="4703"/>
          </w:tcPr>
          <w:p>
            <w:r/>
            <w:r>
              <w:rPr>
                <w:sz w:val="19"/>
              </w:rPr>
              <w:t>Multi-Criteria Decision Analysis – die der Nutzwertanalyse zugrunde liegende Bewertungsmethode mit gewichteten Kriterien</w:t>
            </w:r>
          </w:p>
        </w:tc>
      </w:tr>
      <w:tr>
        <w:tc>
          <w:tcPr>
            <w:tcW w:type="dxa" w:w="4703"/>
          </w:tcPr>
          <w:p>
            <w:r/>
            <w:r>
              <w:rPr>
                <w:sz w:val="19"/>
              </w:rPr>
              <w:t>RLS</w:t>
            </w:r>
          </w:p>
        </w:tc>
        <w:tc>
          <w:tcPr>
            <w:tcW w:type="dxa" w:w="4703"/>
          </w:tcPr>
          <w:p>
            <w:r/>
            <w:r>
              <w:rPr>
                <w:sz w:val="19"/>
              </w:rPr>
              <w:t>Row Level Security – Postgres-/Supabase-Mechanismus zur zeilenbasierten Zugriffskontrolle (siehe Kapitel 5.4)</w:t>
            </w:r>
          </w:p>
        </w:tc>
      </w:tr>
      <w:tr>
        <w:tc>
          <w:tcPr>
            <w:tcW w:type="dxa" w:w="4703"/>
          </w:tcPr>
          <w:p>
            <w:r/>
            <w:r>
              <w:rPr>
                <w:sz w:val="19"/>
              </w:rPr>
              <w:t>Self-Healing</w:t>
            </w:r>
          </w:p>
        </w:tc>
        <w:tc>
          <w:tcPr>
            <w:tcW w:type="dxa" w:w="4703"/>
          </w:tcPr>
          <w:p>
            <w:r/>
            <w:r>
              <w:rPr>
                <w:sz w:val="19"/>
              </w:rPr>
              <w:t>Automatisierte Erkennung und Reparatur fehlgeschlagener Scraper mittels LLM (siehe Kapitel 7)</w:t>
            </w:r>
          </w:p>
        </w:tc>
      </w:tr>
      <w:tr>
        <w:tc>
          <w:tcPr>
            <w:tcW w:type="dxa" w:w="4703"/>
          </w:tcPr>
          <w:p>
            <w:r/>
            <w:r>
              <w:rPr>
                <w:sz w:val="19"/>
              </w:rPr>
              <w:t>scraper_method</w:t>
            </w:r>
          </w:p>
        </w:tc>
        <w:tc>
          <w:tcPr>
            <w:tcW w:type="dxa" w:w="4703"/>
          </w:tcPr>
          <w:p>
            <w:r/>
            <w:r>
              <w:rPr>
                <w:sz w:val="19"/>
              </w:rPr>
              <w:t>Diskriminator-Feld in der courses-Tabelle: 'puppeteer' | 'brightdata' | 'scrapegraphai'</w:t>
            </w:r>
          </w:p>
        </w:tc>
      </w:tr>
      <w:tr>
        <w:tc>
          <w:tcPr>
            <w:tcW w:type="dxa" w:w="4703"/>
          </w:tcPr>
          <w:p>
            <w:r/>
            <w:r>
              <w:rPr>
                <w:sz w:val="19"/>
              </w:rPr>
              <w:t>SSR</w:t>
            </w:r>
          </w:p>
        </w:tc>
        <w:tc>
          <w:tcPr>
            <w:tcW w:type="dxa" w:w="4703"/>
          </w:tcPr>
          <w:p>
            <w:r/>
            <w:r>
              <w:rPr>
                <w:sz w:val="19"/>
              </w:rPr>
              <w:t>Server-Side Rendering – serverseitige Datenabfrage/Renderlogik in Next.js Server Components</w:t>
            </w:r>
          </w:p>
        </w:tc>
      </w:tr>
    </w:tbl>
    <w:p>
      <w:pPr>
        <w:spacing w:after="200"/>
      </w:pPr>
    </w:p>
    <w:p>
      <w:pPr>
        <w:pStyle w:val="Heading2"/>
      </w:pPr>
      <w:r>
        <w:t>17.2 Referenz-SQL-Skripte</w:t>
      </w:r>
    </w:p>
    <w:p>
      <w:r>
        <w:t>Siehe Kapitel 5.6 für eine vollständige Übersicht der SQL-Referenzskripte unter docs/ (report.sql, seed_gymi_providers.sql, fix_course_details_replica_identity.sql).</w:t>
      </w:r>
    </w:p>
    <w:p>
      <w:pPr>
        <w:pStyle w:val="Heading2"/>
      </w:pPr>
      <w:r>
        <w:t>17.3 Wiederherstellung eines pausierten Supabase-Projekts</w:t>
      </w:r>
    </w:p>
    <w:p>
      <w:pPr/>
      <w: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pPr>
        <w:pStyle w:val="ListNumber"/>
      </w:pPr>
      <w:r>
        <w:t>Backup herunterladen: Im Supabase-Dashboard des pausierten Projekts unter Settings → Backups (bzw. Database → Backups) das verfügbare Backup als komprimiertes Archiv herunterladen.</w:t>
      </w:r>
    </w:p>
    <w:p>
      <w:pPr>
        <w:pStyle w:val="ListNumber"/>
      </w:pPr>
      <w:r>
        <w:t>Neues Projekt anlegen: Ein neues Supabase-Projekt erstellen, das die wiederhergestellten Daten aufnimmt. Es erhält eine eigene Connection-URL sowie neue API-Keys (anon und service_role).</w:t>
      </w:r>
    </w:p>
    <w:p>
      <w:pPr>
        <w:pStyle w:val="ListNumber"/>
      </w:pPr>
      <w:r>
        <w:t>Lokale Restore-Umgebung vorbereiten: PostgreSQL-Client-Tools (psql, pg_restore – Teil der offiziellen PostgreSQL-Installation) lokal installieren und das heruntergeladene Archiv entpacken.</w:t>
      </w:r>
    </w:p>
    <w:p>
      <w:pPr>
        <w:pStyle w:val="ListNumber"/>
      </w:pPr>
      <w: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pPr>
        <w:pStyle w:val="ListNumber"/>
      </w:pPr>
      <w:r>
        <w:t>Datenbank wiederherstellen: Je nach Exportformat entweder als reinen SQL-Dump mit psql einspielen oder – bei einem Custom-Format-Dump – mit pg_restore importieren (Befehle siehe unten).</w:t>
      </w:r>
    </w:p>
    <w:p>
      <w:pPr>
        <w:pStyle w:val="ListNumber"/>
      </w:pPr>
      <w:r>
        <w:t>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Edge Functions.</w:t>
      </w:r>
    </w:p>
    <w:p>
      <w:pPr>
        <w:pStyle w:val="ListNumber"/>
      </w:pPr>
      <w:r>
        <w:t>Anwendung umstellen: Die drei Supabase-Umgebungsvariablen NEXT_PUBLIC_SUPABASE_URL, NEXT_PUBLIC_SUPABASE_ANON_KEY und SUPABASE_SERVICE_ROLE_KEY (siehe Kapitel 4.1) in .env auf das neue Projekt umstellen und Webanwendung sowie alle Scraper neu starten.</w:t>
      </w:r>
    </w:p>
    <w:p>
      <w:pPr>
        <w:pStyle w:val="Code"/>
      </w:pPr>
      <w:r>
        <w:t># Variante 1: reiner SQL-Dump</w:t>
      </w:r>
    </w:p>
    <w:p>
      <w:pPr>
        <w:pStyle w:val="Code"/>
      </w:pPr>
      <w:r>
        <w:t>psql "postgresql://postgres:[PASSWORT]@[NEUE-PROJEKT-REF].supabase.co:5432/postgres" -f backup.sql</w:t>
      </w:r>
    </w:p>
    <w:p>
      <w:pPr>
        <w:pStyle w:val="Code"/>
      </w:pPr>
    </w:p>
    <w:p>
      <w:pPr>
        <w:pStyle w:val="Code"/>
      </w:pPr>
      <w:r>
        <w:t># Variante 2: Custom-Format-Dump (.dump / .backup)</w:t>
      </w:r>
    </w:p>
    <w:p>
      <w:pPr>
        <w:pStyle w:val="Code"/>
      </w:pPr>
      <w:r>
        <w:t>pg_restore --no-owner --clean -d "postgresql://postgres:[PASSWORT]@[NEUE-PROJEKT-REF].supabase.co:5432/postgres" backup.dump</w:t>
      </w:r>
    </w:p>
    <w:p>
      <w:pPr/>
      <w:r>
        <w:t>Um eine erneute Pausierung zu vermeiden, empfiehlt sich entweder ein periodischer, minimaler Zugriff auf das Projekt (z. B. ein wöchentlich geplanter Health-Check-Query) oder ein Upgrade auf einen kostenpflichtigen Supabase-Plan ohne automatische Pausierung.</w:t>
      </w:r>
    </w:p>
    <w:p>
      <w:pPr>
        <w:pStyle w:val="Heading2"/>
      </w:pPr>
      <w:r>
        <w:t>17.4 Offene Punkte und Annahmen</w:t>
      </w:r>
    </w:p>
    <w:p>
      <w:r>
        <w:t>Beim Erstellen dieses Dokuments gab es folgende Stellen mit Unsicherheit oder bewusst getroffenen Annahmen, die bei Gelegenheit überprüft bzw. ergänzt werden sollten:</w:t>
      </w:r>
    </w:p>
    <w:p>
      <w:pPr>
        <w:pStyle w:val="ListNumber"/>
      </w:pPr>
      <w:r>
        <w:t>Für die Report-Seite (/report, Kapitel 2.2 und 11.7) existiert kein Screenshot in der BT. Ein aktueller Screenshot sollte nachträglich erstellt und hier ergänzt werden.</w:t>
      </w:r>
    </w:p>
    <w:p>
      <w:pPr>
        <w:pStyle w:val="ListNumber"/>
      </w:pPr>
      <w:r>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pPr>
        <w:pStyle w:val="ListNumber"/>
      </w:pPr>
      <w:r>
        <w:t>Ob ein Abkürzungsverzeichnis in der BT selbst existiert, wurde nicht abschliessend verifiziert; das Glossar in 17.1 wurde eigenständig für dieses Dokument zusammengestellt.</w:t>
      </w:r>
    </w:p>
    <w:p>
      <w:pPr>
        <w:pStyle w:val="ListNumber"/>
      </w:pPr>
      <w: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pPr>
        <w:pStyle w:val="ListNumber"/>
      </w:pPr>
      <w: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pPr>
        <w:pStyle w:val="ListNumber"/>
      </w:pPr>
      <w: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pPr>
        <w:pStyle w:val="ListNumber"/>
      </w:pPr>
      <w: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Seite </w:t>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2F5496"/>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60"/>
      <w:outlineLvl w:val="1"/>
    </w:pPr>
    <w:rPr>
      <w:rFonts w:asciiTheme="majorHAnsi" w:eastAsiaTheme="majorEastAsia" w:hAnsiTheme="majorHAnsi" w:cstheme="majorBidi" w:ascii="Calibri" w:hAnsi="Calibri"/>
      <w:b/>
      <w:bCs/>
      <w:color w:val="2F549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1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20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