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EF78" w14:textId="435DBACD" w:rsidR="00C324F1" w:rsidRPr="00C324F1" w:rsidRDefault="00C324F1" w:rsidP="00C324F1">
      <w:pPr>
        <w:tabs>
          <w:tab w:val="num" w:pos="720"/>
        </w:tabs>
        <w:ind w:left="720" w:hanging="360"/>
        <w:rPr>
          <w:lang/>
        </w:rPr>
      </w:pPr>
      <w:r>
        <w:rPr>
          <w:b/>
          <w:bCs/>
          <w:lang w:val="de-CH"/>
        </w:rPr>
        <w:t>V</w:t>
      </w:r>
      <w:r w:rsidRPr="00C324F1">
        <w:rPr>
          <w:b/>
          <w:bCs/>
          <w:lang/>
        </w:rPr>
        <w:t>erbindung erfolgreich umgehängt</w:t>
      </w:r>
      <w:r w:rsidRPr="00C324F1">
        <w:rPr>
          <w:lang/>
        </w:rPr>
        <w:t xml:space="preserve"> — notaqfguhhjpvmagvcic ("Lernecke") ist jetzt korrekt über den MCP-Connector sichtbar.</w:t>
      </w:r>
    </w:p>
    <w:p w14:paraId="42E0C0DC" w14:textId="77777777" w:rsidR="00C324F1" w:rsidRPr="00C324F1" w:rsidRDefault="00C324F1" w:rsidP="00C324F1">
      <w:pPr>
        <w:tabs>
          <w:tab w:val="num" w:pos="720"/>
        </w:tabs>
        <w:ind w:left="720" w:hanging="360"/>
        <w:rPr>
          <w:lang/>
        </w:rPr>
      </w:pPr>
      <w:r w:rsidRPr="00C324F1">
        <w:rPr>
          <w:b/>
          <w:bCs/>
          <w:lang/>
        </w:rPr>
        <w:t>Vollständige Neufassung von design-reference/datenmodell-review.md</w:t>
      </w:r>
      <w:r w:rsidRPr="00C324F1">
        <w:rPr>
          <w:lang/>
        </w:rPr>
        <w:t xml:space="preserve"> auf Basis eines frischen, verifizierten Live-Abgleichs. Wichtigste Erkenntnisse:</w:t>
      </w:r>
    </w:p>
    <w:p w14:paraId="435391D6" w14:textId="77777777" w:rsidR="00C324F1" w:rsidRPr="00C324F1" w:rsidRDefault="00C324F1" w:rsidP="00C324F1">
      <w:pPr>
        <w:numPr>
          <w:ilvl w:val="0"/>
          <w:numId w:val="3"/>
        </w:numPr>
        <w:rPr>
          <w:lang/>
        </w:rPr>
      </w:pPr>
      <w:r w:rsidRPr="00C324F1">
        <w:rPr>
          <w:b/>
          <w:bCs/>
          <w:lang/>
        </w:rPr>
        <w:t>Das Zielschema ist praktisch komplett umgesetzt</w:t>
      </w:r>
      <w:r w:rsidRPr="00C324F1">
        <w:rPr>
          <w:lang/>
        </w:rPr>
        <w:t> — alle 27 laut Architektur-Briefing geforderten Tabellen existieren bereits, inklusive der Admin-RPCs aus Schritt 5/10a–10d (admin_upsert_course_session, admin_close_payroll_period etc.). Deutlich weiter als der alte, jetzt überholte 5-von-27-Stand.</w:t>
      </w:r>
    </w:p>
    <w:p w14:paraId="780E9761" w14:textId="77777777" w:rsidR="00C324F1" w:rsidRPr="00C324F1" w:rsidRDefault="00C324F1" w:rsidP="00C324F1">
      <w:pPr>
        <w:numPr>
          <w:ilvl w:val="0"/>
          <w:numId w:val="3"/>
        </w:numPr>
        <w:rPr>
          <w:lang/>
        </w:rPr>
      </w:pPr>
      <w:r w:rsidRPr="00C324F1">
        <w:rPr>
          <w:b/>
          <w:bCs/>
          <w:lang/>
        </w:rPr>
        <w:t>Konkreter Widerspruch gefunden:</w:t>
      </w:r>
      <w:r w:rsidRPr="00C324F1">
        <w:rPr>
          <w:lang/>
        </w:rPr>
        <w:t> offer_editions hat noch die Frühbucher-Spalten (early_bird_enabled/_price_rappen/_deadline), obwohl eine dokumentierte Entscheidung vom 27.07.2026 sagt, die seien entfernt worden. Ungeklärt — vor Preislogik-Änderungen erst klären.</w:t>
      </w:r>
    </w:p>
    <w:p w14:paraId="62D25FDE" w14:textId="77777777" w:rsidR="00C324F1" w:rsidRPr="00C324F1" w:rsidRDefault="00C324F1" w:rsidP="00C324F1">
      <w:pPr>
        <w:numPr>
          <w:ilvl w:val="0"/>
          <w:numId w:val="3"/>
        </w:numPr>
        <w:rPr>
          <w:lang/>
        </w:rPr>
      </w:pPr>
      <w:r w:rsidRPr="00C324F1">
        <w:rPr>
          <w:b/>
          <w:bCs/>
          <w:lang/>
        </w:rPr>
        <w:t>Keine CLI-getrackte Migrationshistorie:</w:t>
      </w:r>
      <w:r w:rsidRPr="00C324F1">
        <w:rPr>
          <w:lang/>
        </w:rPr>
        <w:t> supabase_migrations.schema_migrations existiert auf diesem Projekt gar nicht. Die im Briefing vorgeschriebene Baseline-Strategie (Zeitstempel-Abgleich) passt so nicht — eigene Entscheidung nötig.</w:t>
      </w:r>
    </w:p>
    <w:p w14:paraId="3BB4BCC3" w14:textId="77777777" w:rsidR="00C324F1" w:rsidRPr="00C324F1" w:rsidRDefault="00C324F1" w:rsidP="00C324F1">
      <w:pPr>
        <w:numPr>
          <w:ilvl w:val="0"/>
          <w:numId w:val="3"/>
        </w:numPr>
        <w:rPr>
          <w:lang/>
        </w:rPr>
      </w:pPr>
      <w:r w:rsidRPr="00C324F1">
        <w:rPr>
          <w:lang/>
        </w:rPr>
        <w:t>learning_materials hat auffällig nur 2 Zeilen — evtl. Datenverlust beim Kontowechsel.</w:t>
      </w:r>
    </w:p>
    <w:p w14:paraId="1FBA5B02" w14:textId="77777777" w:rsidR="00C324F1" w:rsidRPr="00C324F1" w:rsidRDefault="00C324F1" w:rsidP="00C324F1">
      <w:pPr>
        <w:numPr>
          <w:ilvl w:val="0"/>
          <w:numId w:val="3"/>
        </w:numPr>
        <w:rPr>
          <w:lang/>
        </w:rPr>
      </w:pPr>
      <w:r w:rsidRPr="00C324F1">
        <w:rPr>
          <w:lang/>
        </w:rPr>
        <w:t>Security-Advisor-Befunde (deaktivierter Leaked-Password-Schutz, search_path-Warnungen) sind notiert, aber wie gewünscht nicht vertieft.</w:t>
      </w:r>
    </w:p>
    <w:p w14:paraId="417F7271" w14:textId="77777777" w:rsidR="00C324F1" w:rsidRPr="00C324F1" w:rsidRDefault="00C324F1" w:rsidP="00CD079A">
      <w:pPr>
        <w:tabs>
          <w:tab w:val="num" w:pos="720"/>
        </w:tabs>
        <w:ind w:left="720" w:hanging="360"/>
        <w:rPr>
          <w:lang/>
        </w:rPr>
      </w:pPr>
    </w:p>
    <w:p w14:paraId="70F6FD00" w14:textId="0952AA58" w:rsidR="00C324F1" w:rsidRPr="00C324F1" w:rsidRDefault="00C324F1" w:rsidP="00CD079A">
      <w:pPr>
        <w:tabs>
          <w:tab w:val="num" w:pos="720"/>
        </w:tabs>
        <w:ind w:left="720" w:hanging="360"/>
        <w:rPr>
          <w:lang w:val="de-CH"/>
        </w:rPr>
      </w:pPr>
      <w:r>
        <w:rPr>
          <w:lang w:val="de-CH"/>
        </w:rPr>
        <w:t>______________________</w:t>
      </w:r>
    </w:p>
    <w:p w14:paraId="487AFE4A" w14:textId="515625DA" w:rsidR="00CD079A" w:rsidRPr="00C324F1" w:rsidRDefault="00CD079A" w:rsidP="00CD079A">
      <w:pPr>
        <w:tabs>
          <w:tab w:val="num" w:pos="720"/>
        </w:tabs>
        <w:ind w:left="720" w:hanging="360"/>
        <w:rPr>
          <w:lang w:val="en-US"/>
        </w:rPr>
      </w:pPr>
      <w:r w:rsidRPr="00C324F1">
        <w:rPr>
          <w:lang w:val="en-US"/>
        </w:rPr>
        <w:t>Created design-reference/design-system.md and wired it into CLAUDE.md (same pattern as the other design-reference docs, so it loads automatically in future sessions and is checked before building new UI).</w:t>
      </w:r>
    </w:p>
    <w:p w14:paraId="317A4988" w14:textId="77777777" w:rsidR="00CD079A" w:rsidRPr="00C324F1" w:rsidRDefault="00CD079A" w:rsidP="00CD079A">
      <w:pPr>
        <w:tabs>
          <w:tab w:val="num" w:pos="720"/>
        </w:tabs>
        <w:ind w:left="720" w:hanging="360"/>
        <w:rPr>
          <w:lang w:val="en-US"/>
        </w:rPr>
      </w:pPr>
      <w:r w:rsidRPr="00C324F1">
        <w:rPr>
          <w:lang w:val="en-US"/>
        </w:rPr>
        <w:t xml:space="preserve">What's in it, grounded in what's </w:t>
      </w:r>
      <w:proofErr w:type="gramStart"/>
      <w:r w:rsidRPr="00C324F1">
        <w:rPr>
          <w:lang w:val="en-US"/>
        </w:rPr>
        <w:t>actually in</w:t>
      </w:r>
      <w:proofErr w:type="gramEnd"/>
      <w:r w:rsidRPr="00C324F1">
        <w:rPr>
          <w:lang w:val="en-US"/>
        </w:rPr>
        <w:t xml:space="preserve"> the codebase (not invented):</w:t>
      </w:r>
    </w:p>
    <w:p w14:paraId="3B63A86B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Layout primitives</w:t>
      </w:r>
      <w:r w:rsidRPr="00C324F1">
        <w:rPr>
          <w:lang w:val="en-US"/>
        </w:rPr>
        <w:t> (</w:t>
      </w:r>
      <w:proofErr w:type="spellStart"/>
      <w:r w:rsidRPr="00C324F1">
        <w:rPr>
          <w:lang w:val="en-US"/>
        </w:rPr>
        <w:t>PageContainer</w:t>
      </w:r>
      <w:proofErr w:type="spellEnd"/>
      <w:r w:rsidRPr="00C324F1">
        <w:rPr>
          <w:lang w:val="en-US"/>
        </w:rPr>
        <w:t>/Section/</w:t>
      </w:r>
      <w:proofErr w:type="spellStart"/>
      <w:r w:rsidRPr="00C324F1">
        <w:rPr>
          <w:lang w:val="en-US"/>
        </w:rPr>
        <w:t>SectionHeading</w:t>
      </w:r>
      <w:proofErr w:type="spellEnd"/>
      <w:r w:rsidRPr="00C324F1">
        <w:rPr>
          <w:lang w:val="en-US"/>
        </w:rPr>
        <w:t>/</w:t>
      </w:r>
      <w:proofErr w:type="spellStart"/>
      <w:proofErr w:type="gramStart"/>
      <w:r w:rsidRPr="00C324F1">
        <w:rPr>
          <w:lang w:val="en-US"/>
        </w:rPr>
        <w:t>ResponsiveGrid</w:t>
      </w:r>
      <w:proofErr w:type="spellEnd"/>
      <w:r w:rsidRPr="00C324F1">
        <w:rPr>
          <w:lang w:val="en-US"/>
        </w:rPr>
        <w:t>) —</w:t>
      </w:r>
      <w:proofErr w:type="gramEnd"/>
      <w:r w:rsidRPr="00C324F1">
        <w:rPr>
          <w:lang w:val="en-US"/>
        </w:rPr>
        <w:t xml:space="preserve"> always compose from these, never duplicate wrapper markup.</w:t>
      </w:r>
    </w:p>
    <w:p w14:paraId="7940EBAE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Section rhythm rule</w:t>
      </w:r>
      <w:r w:rsidRPr="00C324F1">
        <w:rPr>
          <w:lang w:val="en-US"/>
        </w:rPr>
        <w:t>: hero = spacing="lg", then strictly alternate default/muted backgrounds — never two adjacent sections with the same background. A section directly before </w:t>
      </w:r>
      <w:proofErr w:type="spellStart"/>
      <w:r w:rsidRPr="00C324F1">
        <w:rPr>
          <w:lang w:val="en-US"/>
        </w:rPr>
        <w:t>SiteFooter</w:t>
      </w:r>
      <w:proofErr w:type="spellEnd"/>
      <w:r w:rsidRPr="00C324F1">
        <w:rPr>
          <w:lang w:val="en-US"/>
        </w:rPr>
        <w:t xml:space="preserve"> must never </w:t>
      </w:r>
      <w:proofErr w:type="gramStart"/>
      <w:r w:rsidRPr="00C324F1">
        <w:rPr>
          <w:lang w:val="en-US"/>
        </w:rPr>
        <w:t>reuse </w:t>
      </w:r>
      <w:proofErr w:type="spellStart"/>
      <w:r w:rsidRPr="00C324F1">
        <w:rPr>
          <w:lang w:val="en-US"/>
        </w:rPr>
        <w:t>bg</w:t>
      </w:r>
      <w:proofErr w:type="spellEnd"/>
      <w:proofErr w:type="gramEnd"/>
      <w:r w:rsidRPr="00C324F1">
        <w:rPr>
          <w:lang w:val="en-US"/>
        </w:rPr>
        <w:t>-primary.</w:t>
      </w:r>
    </w:p>
    <w:p w14:paraId="4A9E781C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Typography scale</w:t>
      </w:r>
      <w:r w:rsidRPr="00C324F1">
        <w:rPr>
          <w:lang w:val="en-US"/>
        </w:rPr>
        <w:t> table (hero H1, section H2, card H3, eyebrow, body, caption) with exact classes.</w:t>
      </w:r>
    </w:p>
    <w:p w14:paraId="3C72946D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Eyebrow rule</w:t>
      </w:r>
      <w:r w:rsidRPr="00C324F1">
        <w:rPr>
          <w:lang w:val="en-US"/>
        </w:rPr>
        <w:t>: plain colored text, never a filled Badge — that's reserved for real status/subject labels.</w:t>
      </w:r>
    </w:p>
    <w:p w14:paraId="12B4F3AA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Three non-interchangeable badge types</w:t>
      </w:r>
      <w:r w:rsidRPr="00C324F1">
        <w:rPr>
          <w:lang w:val="en-US"/>
        </w:rPr>
        <w:t>: </w:t>
      </w:r>
      <w:proofErr w:type="spellStart"/>
      <w:r w:rsidRPr="00C324F1">
        <w:rPr>
          <w:lang w:val="en-US"/>
        </w:rPr>
        <w:t>StatusBadge</w:t>
      </w:r>
      <w:proofErr w:type="spellEnd"/>
      <w:r w:rsidRPr="00C324F1">
        <w:rPr>
          <w:lang w:val="en-US"/>
        </w:rPr>
        <w:t>, </w:t>
      </w:r>
      <w:proofErr w:type="spellStart"/>
      <w:r w:rsidRPr="00C324F1">
        <w:rPr>
          <w:lang w:val="en-US"/>
        </w:rPr>
        <w:t>CategoryBadge</w:t>
      </w:r>
      <w:proofErr w:type="spellEnd"/>
      <w:r w:rsidRPr="00C324F1">
        <w:rPr>
          <w:lang w:val="en-US"/>
        </w:rPr>
        <w:t>, plain-text label.</w:t>
      </w:r>
    </w:p>
    <w:p w14:paraId="42F480F9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t>Color-token table</w:t>
      </w:r>
      <w:r w:rsidRPr="00C324F1">
        <w:rPr>
          <w:lang w:val="en-US"/>
        </w:rPr>
        <w:t xml:space="preserve">: what primary/secondary/accent/tertiary/subject-* each </w:t>
      </w:r>
      <w:proofErr w:type="gramStart"/>
      <w:r w:rsidRPr="00C324F1">
        <w:rPr>
          <w:lang w:val="en-US"/>
        </w:rPr>
        <w:t>mean</w:t>
      </w:r>
      <w:proofErr w:type="gramEnd"/>
      <w:r w:rsidRPr="00C324F1">
        <w:rPr>
          <w:lang w:val="en-US"/>
        </w:rPr>
        <w:t xml:space="preserve"> and where they're used.</w:t>
      </w:r>
    </w:p>
    <w:p w14:paraId="39049D7C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b/>
          <w:bCs/>
          <w:lang w:val="en-US"/>
        </w:rPr>
        <w:lastRenderedPageBreak/>
        <w:t>Three card/tile variants</w:t>
      </w:r>
      <w:r w:rsidRPr="00C324F1">
        <w:rPr>
          <w:lang w:val="en-US"/>
        </w:rPr>
        <w:t> (gradient-head </w:t>
      </w:r>
      <w:proofErr w:type="spellStart"/>
      <w:r w:rsidRPr="00C324F1">
        <w:rPr>
          <w:lang w:val="en-US"/>
        </w:rPr>
        <w:t>CourseCard</w:t>
      </w:r>
      <w:proofErr w:type="spellEnd"/>
      <w:r w:rsidRPr="00C324F1">
        <w:rPr>
          <w:lang w:val="en-US"/>
        </w:rPr>
        <w:t>, bordered </w:t>
      </w:r>
      <w:proofErr w:type="spellStart"/>
      <w:r w:rsidRPr="00C324F1">
        <w:rPr>
          <w:lang w:val="en-US"/>
        </w:rPr>
        <w:t>ServiceCard</w:t>
      </w:r>
      <w:proofErr w:type="spellEnd"/>
      <w:r w:rsidRPr="00C324F1">
        <w:rPr>
          <w:lang w:val="en-US"/>
        </w:rPr>
        <w:t>/</w:t>
      </w:r>
      <w:proofErr w:type="spellStart"/>
      <w:r w:rsidRPr="00C324F1">
        <w:rPr>
          <w:lang w:val="en-US"/>
        </w:rPr>
        <w:t>WhyUsGrid</w:t>
      </w:r>
      <w:proofErr w:type="spellEnd"/>
      <w:r w:rsidRPr="00C324F1">
        <w:rPr>
          <w:lang w:val="en-US"/>
        </w:rPr>
        <w:t>, flat top-accent </w:t>
      </w:r>
      <w:proofErr w:type="spellStart"/>
      <w:r w:rsidRPr="00C324F1">
        <w:rPr>
          <w:lang w:val="en-US"/>
        </w:rPr>
        <w:t>ValueProps</w:t>
      </w:r>
      <w:proofErr w:type="spellEnd"/>
      <w:r w:rsidRPr="00C324F1">
        <w:rPr>
          <w:lang w:val="en-US"/>
        </w:rPr>
        <w:t xml:space="preserve">) with when to use which, plus the gap-2 vs. </w:t>
      </w:r>
      <w:proofErr w:type="spellStart"/>
      <w:r w:rsidRPr="00C324F1">
        <w:rPr>
          <w:lang w:val="en-US"/>
        </w:rPr>
        <w:t>shadcn's</w:t>
      </w:r>
      <w:proofErr w:type="spellEnd"/>
      <w:r w:rsidRPr="00C324F1">
        <w:rPr>
          <w:lang w:val="en-US"/>
        </w:rPr>
        <w:t xml:space="preserve"> default gap-6 title/text-spacing fix.</w:t>
      </w:r>
    </w:p>
    <w:p w14:paraId="011A6D66" w14:textId="77777777" w:rsidR="00CD079A" w:rsidRPr="00CD079A" w:rsidRDefault="00CD079A" w:rsidP="00CD079A">
      <w:pPr>
        <w:numPr>
          <w:ilvl w:val="0"/>
          <w:numId w:val="2"/>
        </w:numPr>
      </w:pPr>
      <w:r w:rsidRPr="00CD079A">
        <w:rPr>
          <w:b/>
          <w:bCs/>
        </w:rPr>
        <w:t>Button-per-background</w:t>
      </w:r>
      <w:r w:rsidRPr="00CD079A">
        <w:t> table.</w:t>
      </w:r>
    </w:p>
    <w:p w14:paraId="6DE3A33D" w14:textId="77777777" w:rsidR="00CD079A" w:rsidRPr="00C324F1" w:rsidRDefault="00CD079A" w:rsidP="00CD079A">
      <w:pPr>
        <w:numPr>
          <w:ilvl w:val="0"/>
          <w:numId w:val="2"/>
        </w:numPr>
        <w:rPr>
          <w:lang w:val="en-US"/>
        </w:rPr>
      </w:pPr>
      <w:r w:rsidRPr="00C324F1">
        <w:rPr>
          <w:lang w:val="en-US"/>
        </w:rPr>
        <w:t>A </w:t>
      </w:r>
      <w:r w:rsidRPr="00C324F1">
        <w:rPr>
          <w:b/>
          <w:bCs/>
          <w:lang w:val="en-US"/>
        </w:rPr>
        <w:t>pre-build checklist</w:t>
      </w:r>
      <w:r w:rsidRPr="00C324F1">
        <w:rPr>
          <w:lang w:val="en-US"/>
        </w:rPr>
        <w:t> for new sections.</w:t>
      </w:r>
    </w:p>
    <w:p w14:paraId="4E7AC0F5" w14:textId="77777777" w:rsidR="00CD079A" w:rsidRPr="00C324F1" w:rsidRDefault="00CD079A" w:rsidP="00CD079A">
      <w:pPr>
        <w:tabs>
          <w:tab w:val="num" w:pos="720"/>
        </w:tabs>
        <w:ind w:left="720" w:hanging="360"/>
        <w:rPr>
          <w:lang w:val="en-US"/>
        </w:rPr>
      </w:pPr>
    </w:p>
    <w:p w14:paraId="0DA644B1" w14:textId="77777777" w:rsidR="00CD079A" w:rsidRPr="00C324F1" w:rsidRDefault="00CD079A" w:rsidP="00CD079A">
      <w:pPr>
        <w:numPr>
          <w:ilvl w:val="0"/>
          <w:numId w:val="1"/>
        </w:numPr>
        <w:rPr>
          <w:lang w:val="en-US"/>
        </w:rPr>
      </w:pPr>
      <w:r w:rsidRPr="00C324F1">
        <w:rPr>
          <w:b/>
          <w:bCs/>
          <w:lang w:val="en-US"/>
        </w:rPr>
        <w:t>Canonical rule now</w:t>
      </w:r>
      <w:r w:rsidRPr="00C324F1">
        <w:rPr>
          <w:lang w:val="en-US"/>
        </w:rPr>
        <w:t>: hero = spacing="default" (was lg), all subsequent content sections = spacing="</w:t>
      </w:r>
      <w:proofErr w:type="spellStart"/>
      <w:r w:rsidRPr="00C324F1">
        <w:rPr>
          <w:lang w:val="en-US"/>
        </w:rPr>
        <w:t>sm</w:t>
      </w:r>
      <w:proofErr w:type="spellEnd"/>
      <w:r w:rsidRPr="00C324F1">
        <w:rPr>
          <w:lang w:val="en-US"/>
        </w:rPr>
        <w:t>", strict default/muted background alternation, with </w:t>
      </w:r>
      <w:proofErr w:type="spellStart"/>
      <w:r w:rsidRPr="00C324F1">
        <w:rPr>
          <w:lang w:val="en-US"/>
        </w:rPr>
        <w:t>bg</w:t>
      </w:r>
      <w:proofErr w:type="spellEnd"/>
      <w:r w:rsidRPr="00C324F1">
        <w:rPr>
          <w:lang w:val="en-US"/>
        </w:rPr>
        <w:t>-ink-pale as the documented third tone for runs of 3+ light sections.</w:t>
      </w:r>
    </w:p>
    <w:p w14:paraId="3EA5F5DF" w14:textId="77777777" w:rsidR="00CD079A" w:rsidRPr="00C324F1" w:rsidRDefault="00CD079A" w:rsidP="00CD079A">
      <w:pPr>
        <w:numPr>
          <w:ilvl w:val="0"/>
          <w:numId w:val="1"/>
        </w:numPr>
        <w:rPr>
          <w:lang w:val="en-US"/>
        </w:rPr>
      </w:pPr>
      <w:r w:rsidRPr="00C324F1">
        <w:rPr>
          <w:lang w:val="en-US"/>
        </w:rPr>
        <w:t>Applied across all 14 marketing pages with &lt;Section&gt;: the 5 single-section legal/simple pages (</w:t>
      </w:r>
      <w:proofErr w:type="spellStart"/>
      <w:r w:rsidRPr="00C324F1">
        <w:rPr>
          <w:lang w:val="en-US"/>
        </w:rPr>
        <w:t>agb</w:t>
      </w:r>
      <w:proofErr w:type="spellEnd"/>
      <w:r w:rsidRPr="00C324F1">
        <w:rPr>
          <w:lang w:val="en-US"/>
        </w:rPr>
        <w:t>, </w:t>
      </w:r>
      <w:proofErr w:type="spellStart"/>
      <w:r w:rsidRPr="00C324F1">
        <w:rPr>
          <w:lang w:val="en-US"/>
        </w:rPr>
        <w:t>datenschutz</w:t>
      </w:r>
      <w:proofErr w:type="spellEnd"/>
      <w:r w:rsidRPr="00C324F1">
        <w:rPr>
          <w:lang w:val="en-US"/>
        </w:rPr>
        <w:t>, </w:t>
      </w:r>
      <w:proofErr w:type="spellStart"/>
      <w:r w:rsidRPr="00C324F1">
        <w:rPr>
          <w:lang w:val="en-US"/>
        </w:rPr>
        <w:t>impressum</w:t>
      </w:r>
      <w:proofErr w:type="spellEnd"/>
      <w:r w:rsidRPr="00C324F1">
        <w:rPr>
          <w:lang w:val="en-US"/>
        </w:rPr>
        <w:t>, </w:t>
      </w:r>
      <w:proofErr w:type="spellStart"/>
      <w:r w:rsidRPr="00C324F1">
        <w:rPr>
          <w:lang w:val="en-US"/>
        </w:rPr>
        <w:t>kontakt</w:t>
      </w:r>
      <w:proofErr w:type="spellEnd"/>
      <w:r w:rsidRPr="00C324F1">
        <w:rPr>
          <w:lang w:val="en-US"/>
        </w:rPr>
        <w:t>, </w:t>
      </w:r>
      <w:proofErr w:type="spellStart"/>
      <w:r w:rsidRPr="00C324F1">
        <w:rPr>
          <w:lang w:val="en-US"/>
        </w:rPr>
        <w:t>standorte</w:t>
      </w:r>
      <w:proofErr w:type="spellEnd"/>
      <w:r w:rsidRPr="00C324F1">
        <w:rPr>
          <w:lang w:val="en-US"/>
        </w:rPr>
        <w:t>), the 6 simple multi-section pages (distance-learning, nachhilfe, pruefungssimulation, tipps, ueber-uns, lerncoaching), and both </w:t>
      </w:r>
      <w:proofErr w:type="spellStart"/>
      <w:r w:rsidRPr="00C324F1">
        <w:rPr>
          <w:lang w:val="en-US"/>
        </w:rPr>
        <w:t>kurse</w:t>
      </w:r>
      <w:proofErr w:type="spellEnd"/>
      <w:r w:rsidRPr="00C324F1">
        <w:rPr>
          <w:lang w:val="en-US"/>
        </w:rPr>
        <w:t>/[audience] templates (including the content-heavy [</w:t>
      </w:r>
      <w:proofErr w:type="spellStart"/>
      <w:r w:rsidRPr="00C324F1">
        <w:rPr>
          <w:lang w:val="en-US"/>
        </w:rPr>
        <w:t>angebot</w:t>
      </w:r>
      <w:proofErr w:type="spellEnd"/>
      <w:r w:rsidRPr="00C324F1">
        <w:rPr>
          <w:lang w:val="en-US"/>
        </w:rPr>
        <w:t>] detail page with 8 stacked sections).</w:t>
      </w:r>
    </w:p>
    <w:p w14:paraId="7FD62EFE" w14:textId="77777777" w:rsidR="00CD079A" w:rsidRPr="00C324F1" w:rsidRDefault="00CD079A" w:rsidP="00CD079A">
      <w:pPr>
        <w:numPr>
          <w:ilvl w:val="0"/>
          <w:numId w:val="1"/>
        </w:numPr>
        <w:rPr>
          <w:lang w:val="en-US"/>
        </w:rPr>
      </w:pPr>
      <w:r w:rsidRPr="00C324F1">
        <w:rPr>
          <w:lang w:val="en-US"/>
        </w:rPr>
        <w:t>Left untouched: the </w:t>
      </w:r>
      <w:proofErr w:type="spellStart"/>
      <w:r w:rsidRPr="00C324F1">
        <w:rPr>
          <w:lang w:val="en-US"/>
        </w:rPr>
        <w:t>usesReferenceExamLayout</w:t>
      </w:r>
      <w:proofErr w:type="spellEnd"/>
      <w:r w:rsidRPr="00C324F1">
        <w:rPr>
          <w:lang w:val="en-US"/>
        </w:rPr>
        <w:t> branch in [</w:t>
      </w:r>
      <w:proofErr w:type="spellStart"/>
      <w:r w:rsidRPr="00C324F1">
        <w:rPr>
          <w:lang w:val="en-US"/>
        </w:rPr>
        <w:t>angebot</w:t>
      </w:r>
      <w:proofErr w:type="spellEnd"/>
      <w:r w:rsidRPr="00C324F1">
        <w:rPr>
          <w:lang w:val="en-US"/>
        </w:rPr>
        <w:t>]/</w:t>
      </w:r>
      <w:proofErr w:type="spellStart"/>
      <w:r w:rsidRPr="00C324F1">
        <w:rPr>
          <w:lang w:val="en-US"/>
        </w:rPr>
        <w:t>page.tsx</w:t>
      </w:r>
      <w:proofErr w:type="spellEnd"/>
      <w:r w:rsidRPr="00C324F1">
        <w:rPr>
          <w:lang w:val="en-US"/>
        </w:rPr>
        <w:t> — that's a deliberately separate, non-migrated visual system per the architecture briefing, not part of this rhythm.</w:t>
      </w:r>
    </w:p>
    <w:p w14:paraId="56D5D54F" w14:textId="77777777" w:rsidR="00CD079A" w:rsidRPr="00C324F1" w:rsidRDefault="00CD079A" w:rsidP="00CD079A">
      <w:pPr>
        <w:numPr>
          <w:ilvl w:val="0"/>
          <w:numId w:val="1"/>
        </w:numPr>
        <w:rPr>
          <w:lang w:val="en-US"/>
        </w:rPr>
      </w:pPr>
      <w:r w:rsidRPr="00C324F1">
        <w:rPr>
          <w:lang w:val="en-US"/>
        </w:rPr>
        <w:t>Updated design-reference/design-system.md with a "Reconciliation-Log" documenting the decision and the final rule, replacing the earlier open question.</w:t>
      </w:r>
    </w:p>
    <w:p w14:paraId="64652E75" w14:textId="77777777" w:rsidR="00CD079A" w:rsidRPr="00C324F1" w:rsidRDefault="00CD079A" w:rsidP="00CD079A">
      <w:pPr>
        <w:rPr>
          <w:lang w:val="en-US"/>
        </w:rPr>
      </w:pPr>
      <w:r w:rsidRPr="00C324F1">
        <w:rPr>
          <w:b/>
          <w:bCs/>
          <w:lang w:val="en-US"/>
        </w:rPr>
        <w:t>Verification:</w:t>
      </w:r>
      <w:r w:rsidRPr="00C324F1">
        <w:rPr>
          <w:lang w:val="en-US"/>
        </w:rPr>
        <w:t xml:space="preserve"> </w:t>
      </w:r>
      <w:proofErr w:type="spellStart"/>
      <w:r w:rsidRPr="00C324F1">
        <w:rPr>
          <w:lang w:val="en-US"/>
        </w:rPr>
        <w:t>npm</w:t>
      </w:r>
      <w:proofErr w:type="spellEnd"/>
      <w:r w:rsidRPr="00C324F1">
        <w:rPr>
          <w:lang w:val="en-US"/>
        </w:rPr>
        <w:t xml:space="preserve"> run </w:t>
      </w:r>
      <w:proofErr w:type="spellStart"/>
      <w:r w:rsidRPr="00C324F1">
        <w:rPr>
          <w:lang w:val="en-US"/>
        </w:rPr>
        <w:t>typecheck</w:t>
      </w:r>
      <w:proofErr w:type="spellEnd"/>
      <w:r w:rsidRPr="00C324F1">
        <w:rPr>
          <w:lang w:val="en-US"/>
        </w:rPr>
        <w:t xml:space="preserve"> passes; confirmed via grep that no spacing="lg" remains anywhere and no &lt;Section&gt; lacks an explicit spacing prop; visually spot-checked </w:t>
      </w:r>
      <w:proofErr w:type="spellStart"/>
      <w:r w:rsidRPr="00C324F1">
        <w:rPr>
          <w:lang w:val="en-US"/>
        </w:rPr>
        <w:t>ueber-uns</w:t>
      </w:r>
      <w:proofErr w:type="spellEnd"/>
      <w:r w:rsidRPr="00C324F1">
        <w:rPr>
          <w:lang w:val="en-US"/>
        </w:rPr>
        <w:t xml:space="preserve"> (mid-complexity) and the 6. Klasse course detail page (the densest page on the site, 8 sections) — both read cleanly with proper alternation and no cramping.</w:t>
      </w:r>
    </w:p>
    <w:p w14:paraId="2D5D4E43" w14:textId="77777777" w:rsidR="00C71367" w:rsidRPr="00C324F1" w:rsidRDefault="00C71367">
      <w:pPr>
        <w:rPr>
          <w:lang w:val="en-US"/>
        </w:rPr>
      </w:pPr>
    </w:p>
    <w:sectPr w:rsidR="00C71367" w:rsidRPr="00C3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6FE0"/>
    <w:multiLevelType w:val="multilevel"/>
    <w:tmpl w:val="53D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4B7C"/>
    <w:multiLevelType w:val="multilevel"/>
    <w:tmpl w:val="189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F5794"/>
    <w:multiLevelType w:val="multilevel"/>
    <w:tmpl w:val="021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134194">
    <w:abstractNumId w:val="0"/>
  </w:num>
  <w:num w:numId="2" w16cid:durableId="1633437851">
    <w:abstractNumId w:val="1"/>
  </w:num>
  <w:num w:numId="3" w16cid:durableId="31530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9A"/>
    <w:rsid w:val="00557FC3"/>
    <w:rsid w:val="00620816"/>
    <w:rsid w:val="00723B89"/>
    <w:rsid w:val="008F4A5E"/>
    <w:rsid w:val="00941E9A"/>
    <w:rsid w:val="00C324F1"/>
    <w:rsid w:val="00C71367"/>
    <w:rsid w:val="00CD079A"/>
    <w:rsid w:val="00DA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365B0"/>
  <w15:chartTrackingRefBased/>
  <w15:docId w15:val="{2571B362-4388-4318-89A7-7096EDF8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fr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D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07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07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079A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079A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079A"/>
    <w:rPr>
      <w:rFonts w:eastAsiaTheme="majorEastAsia" w:cstheme="majorBidi"/>
      <w:color w:val="0F4761" w:themeColor="accent1" w:themeShade="BF"/>
      <w:lang w:val="fr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079A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079A"/>
    <w:rPr>
      <w:rFonts w:eastAsiaTheme="majorEastAsia" w:cstheme="majorBidi"/>
      <w:color w:val="595959" w:themeColor="text1" w:themeTint="A6"/>
      <w:lang w:val="fr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079A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079A"/>
    <w:rPr>
      <w:rFonts w:eastAsiaTheme="majorEastAsia" w:cstheme="majorBidi"/>
      <w:color w:val="272727" w:themeColor="text1" w:themeTint="D8"/>
      <w:lang w:val="fr-CH"/>
    </w:rPr>
  </w:style>
  <w:style w:type="paragraph" w:styleId="Titel">
    <w:name w:val="Title"/>
    <w:basedOn w:val="Standard"/>
    <w:next w:val="Standard"/>
    <w:link w:val="TitelZchn"/>
    <w:uiPriority w:val="10"/>
    <w:qFormat/>
    <w:rsid w:val="00CD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079A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079A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Zitat">
    <w:name w:val="Quote"/>
    <w:basedOn w:val="Standard"/>
    <w:next w:val="Standard"/>
    <w:link w:val="ZitatZchn"/>
    <w:uiPriority w:val="29"/>
    <w:qFormat/>
    <w:rsid w:val="00CD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079A"/>
    <w:rPr>
      <w:i/>
      <w:iCs/>
      <w:color w:val="404040" w:themeColor="text1" w:themeTint="BF"/>
      <w:lang w:val="fr-CH"/>
    </w:rPr>
  </w:style>
  <w:style w:type="paragraph" w:styleId="Listenabsatz">
    <w:name w:val="List Paragraph"/>
    <w:basedOn w:val="Standard"/>
    <w:uiPriority w:val="34"/>
    <w:qFormat/>
    <w:rsid w:val="00CD0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0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079A"/>
    <w:rPr>
      <w:i/>
      <w:iCs/>
      <w:color w:val="0F4761" w:themeColor="accent1" w:themeShade="BF"/>
      <w:lang w:val="fr-CH"/>
    </w:rPr>
  </w:style>
  <w:style w:type="character" w:styleId="IntensiverVerweis">
    <w:name w:val="Intense Reference"/>
    <w:basedOn w:val="Absatz-Standardschriftart"/>
    <w:uiPriority w:val="32"/>
    <w:qFormat/>
    <w:rsid w:val="00CD0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Gimeno Raúl Diego</dc:creator>
  <cp:keywords/>
  <dc:description/>
  <cp:lastModifiedBy>Gimeno Raúl Diego</cp:lastModifiedBy>
  <cp:revision>2</cp:revision>
  <dcterms:created xsi:type="dcterms:W3CDTF">2026-07-27T08:36:00Z</dcterms:created>
  <dcterms:modified xsi:type="dcterms:W3CDTF">2026-07-29T08:41:00Z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632a45-2c5b-48ac-84ab-9b136753159c_Enabled">
    <vt:lpwstr>true</vt:lpwstr>
  </property>
  <property fmtid="{D5CDD505-2E9C-101B-9397-08002B2CF9AE}" pid="3" name="MSIP_Label_84632a45-2c5b-48ac-84ab-9b136753159c_SetDate">
    <vt:lpwstr>2026-07-27T08:42:41Z</vt:lpwstr>
  </property>
  <property fmtid="{D5CDD505-2E9C-101B-9397-08002B2CF9AE}" pid="4" name="MSIP_Label_84632a45-2c5b-48ac-84ab-9b136753159c_Method">
    <vt:lpwstr>Standard</vt:lpwstr>
  </property>
  <property fmtid="{D5CDD505-2E9C-101B-9397-08002B2CF9AE}" pid="5" name="MSIP_Label_84632a45-2c5b-48ac-84ab-9b136753159c_Name">
    <vt:lpwstr>Intern</vt:lpwstr>
  </property>
  <property fmtid="{D5CDD505-2E9C-101B-9397-08002B2CF9AE}" pid="6" name="MSIP_Label_84632a45-2c5b-48ac-84ab-9b136753159c_SiteId">
    <vt:lpwstr>d6a1cf8c-768e-4187-a738-b6e50c4deb4a</vt:lpwstr>
  </property>
  <property fmtid="{D5CDD505-2E9C-101B-9397-08002B2CF9AE}" pid="7" name="MSIP_Label_84632a45-2c5b-48ac-84ab-9b136753159c_ActionId">
    <vt:lpwstr>7f2cf820-df8d-48ea-8d67-040cfe750418</vt:lpwstr>
  </property>
  <property fmtid="{D5CDD505-2E9C-101B-9397-08002B2CF9AE}" pid="8" name="MSIP_Label_84632a45-2c5b-48ac-84ab-9b136753159c_ContentBits">
    <vt:lpwstr>0</vt:lpwstr>
  </property>
  <property fmtid="{D5CDD505-2E9C-101B-9397-08002B2CF9AE}" pid="9" name="MSIP_Label_84632a45-2c5b-48ac-84ab-9b136753159c_Tag">
    <vt:lpwstr>10, 3, 0, 1</vt:lpwstr>
  </property>
</Properties>
</file>