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2C6205"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C6205">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C6205">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2C6205">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2C6205">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2C6205">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2C6205">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C6205">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Matriz 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4pt" o:ole="">
            <v:imagedata r:id="rId13" o:title=""/>
          </v:shape>
          <o:OLEObject Type="Embed" ProgID="Excel.Sheet.12" ShapeID="_x0000_i1025" DrawAspect="Content" ObjectID="_1607438888"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438889"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1.95pt" o:ole="">
            <v:imagedata r:id="rId17" o:title=""/>
          </v:shape>
          <o:OLEObject Type="Embed" ProgID="Excel.Sheet.12" ShapeID="_x0000_i1027" DrawAspect="Content" ObjectID="_1607438890"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438891"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438892"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438893"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p w:rsidR="00220D47" w:rsidRDefault="00404429" w:rsidP="00220D47">
      <w:pPr>
        <w:jc w:val="center"/>
      </w:pPr>
      <w:r>
        <w:object w:dxaOrig="16273" w:dyaOrig="14360">
          <v:shape id="_x0000_i1041" type="#_x0000_t75" style="width:424.75pt;height:374.8pt" o:ole="">
            <v:imagedata r:id="rId25" o:title=""/>
          </v:shape>
          <o:OLEObject Type="Embed" ProgID="Excel.Sheet.12" ShapeID="_x0000_i1041" DrawAspect="Content" ObjectID="_1607438894" r:id="rId26"/>
        </w:object>
      </w:r>
    </w:p>
    <w:p w:rsidR="00220D47" w:rsidRDefault="00220D47" w:rsidP="00220D47">
      <w:pPr>
        <w:rPr>
          <w:sz w:val="22"/>
          <w:szCs w:val="22"/>
        </w:rPr>
      </w:pPr>
    </w:p>
    <w:p w:rsidR="00220D47" w:rsidRPr="00220D47" w:rsidRDefault="00220D47"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bookmarkStart w:id="35" w:name="_GoBack"/>
      <w:bookmarkEnd w:id="35"/>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1D571B" w:rsidRPr="001D571B" w:rsidRDefault="001D571B" w:rsidP="001D571B">
      <w:pPr>
        <w:jc w:val="both"/>
        <w:rPr>
          <w:sz w:val="22"/>
          <w:szCs w:val="22"/>
        </w:rPr>
      </w:pPr>
      <w:r>
        <w:rPr>
          <w:sz w:val="22"/>
          <w:szCs w:val="22"/>
        </w:rPr>
        <w:t>De la entidad Proyecto heredan Evento y Programa Deportivo.</w:t>
      </w:r>
      <w:r w:rsidR="00897F94">
        <w:rPr>
          <w:sz w:val="22"/>
          <w:szCs w:val="22"/>
        </w:rPr>
        <w:t xml:space="preserve"> Se considera una clasificación completa y disjunta, de tal modo que se ha optado por una relación para cada subclase concreta, las cuales comparten la misma clave primaria, de manera disjunta, para permitir consultas sobre la superclase.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6" w:name="_Toc532597661"/>
      <w:r>
        <w:t>Anexo I: Prototipo de newsletter</w:t>
      </w:r>
      <w:bookmarkEnd w:id="36"/>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7" w:name="_Toc530491234"/>
      <w:bookmarkStart w:id="38" w:name="_Toc532597662"/>
      <w:r>
        <w:lastRenderedPageBreak/>
        <w:t>Anexo II: Acta de reunión</w:t>
      </w:r>
      <w:bookmarkEnd w:id="37"/>
      <w:bookmarkEnd w:id="3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205" w:rsidRDefault="002C6205" w:rsidP="005F4B5B">
      <w:r>
        <w:separator/>
      </w:r>
    </w:p>
  </w:endnote>
  <w:endnote w:type="continuationSeparator" w:id="0">
    <w:p w:rsidR="002C6205" w:rsidRDefault="002C6205"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205" w:rsidRDefault="002C6205" w:rsidP="005F4B5B">
      <w:r>
        <w:separator/>
      </w:r>
    </w:p>
  </w:footnote>
  <w:footnote w:type="continuationSeparator" w:id="0">
    <w:p w:rsidR="002C6205" w:rsidRDefault="002C6205"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5D0"/>
    <w:rsid w:val="0020086A"/>
    <w:rsid w:val="0020624F"/>
    <w:rsid w:val="00213FE3"/>
    <w:rsid w:val="00214C4C"/>
    <w:rsid w:val="00220D47"/>
    <w:rsid w:val="002258F5"/>
    <w:rsid w:val="00225C07"/>
    <w:rsid w:val="00227CF4"/>
    <w:rsid w:val="002352BA"/>
    <w:rsid w:val="00244942"/>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E6E"/>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D7ECC-E0C2-4B1E-80E1-F6FB1755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50</Pages>
  <Words>8757</Words>
  <Characters>48165</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4</cp:revision>
  <cp:lastPrinted>2018-12-14T20:14:00Z</cp:lastPrinted>
  <dcterms:created xsi:type="dcterms:W3CDTF">2018-10-18T20:31:00Z</dcterms:created>
  <dcterms:modified xsi:type="dcterms:W3CDTF">2018-12-27T17:02:00Z</dcterms:modified>
</cp:coreProperties>
</file>