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D34B5C"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D34B5C">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D34B5C">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34B5C">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D34B5C">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D34B5C">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D34B5C">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D34B5C">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D34B5C">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D34B5C">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D34B5C">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D34B5C">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D34B5C">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DC0D23"/>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Pr>
                <w:b/>
                <w:sz w:val="22"/>
              </w:rPr>
              <w:t>facturas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w:t>
            </w:r>
            <w:r>
              <w:rPr>
                <w:sz w:val="22"/>
              </w:rPr>
              <w:t>as facturas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259764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de pago alguna factura</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un participante que tiene alguna </w:t>
            </w:r>
            <w:r>
              <w:rPr>
                <w:sz w:val="22"/>
                <w:szCs w:val="22"/>
              </w:rPr>
              <w:t>factura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participante que no tiene ninguna fa</w:t>
            </w:r>
            <w:r w:rsidR="00512EA3">
              <w:rPr>
                <w:sz w:val="22"/>
                <w:szCs w:val="22"/>
              </w:rPr>
              <w:t>ctura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w:t>
            </w:r>
            <w:r w:rsidR="00CD5B5D">
              <w:rPr>
                <w:sz w:val="22"/>
                <w:szCs w:val="22"/>
              </w:rPr>
              <w:t>cuya fecha de inicio esté comprendida entre la fecha actual y pasado un periodo de 60 días</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15 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15</w:t>
            </w:r>
          </w:p>
          <w:p w:rsidR="00CD5B5D" w:rsidRPr="00CD5B5D" w:rsidRDefault="00CD5B5D" w:rsidP="00CD5B5D">
            <w:pPr>
              <w:pStyle w:val="Prrafodelista"/>
              <w:numPr>
                <w:ilvl w:val="0"/>
                <w:numId w:val="10"/>
              </w:numPr>
              <w:jc w:val="both"/>
              <w:rPr>
                <w:sz w:val="22"/>
              </w:rPr>
            </w:pPr>
            <w:r>
              <w:rPr>
                <w:b/>
                <w:sz w:val="22"/>
              </w:rPr>
              <w:t>PA – 15.1</w:t>
            </w:r>
            <w:r>
              <w:rPr>
                <w:sz w:val="22"/>
              </w:rPr>
              <w:t>: se inserta un número real entre 0 y 1, como grado de discapacidad, y el sistema permite el registro de dicho dato.</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DE0CFA" w:rsidRDefault="00AC1D1E" w:rsidP="00572008">
      <w:pPr>
        <w:pStyle w:val="Ttulo2"/>
        <w:jc w:val="both"/>
      </w:pPr>
      <w:bookmarkStart w:id="16" w:name="_Toc532597643"/>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7"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8" w:name="_Toc532597644"/>
      <w:r>
        <w:lastRenderedPageBreak/>
        <w:t>Requisitos no funcionales</w:t>
      </w:r>
      <w:bookmarkEnd w:id="18"/>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19"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19"/>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0" w:name="_Toc532597645"/>
      <w:r>
        <w:lastRenderedPageBreak/>
        <w:t>MODELO CONCEPTUAL</w:t>
      </w:r>
      <w:bookmarkEnd w:id="20"/>
    </w:p>
    <w:p w:rsidR="00E84FCC" w:rsidRDefault="00E84FCC" w:rsidP="00AC1D1E"/>
    <w:p w:rsidR="00E84FCC" w:rsidRDefault="003416E6" w:rsidP="003416E6">
      <w:pPr>
        <w:pStyle w:val="Ttulo2"/>
      </w:pPr>
      <w:bookmarkStart w:id="21" w:name="_Toc532597646"/>
      <w:r>
        <w:t>Modelado UML</w:t>
      </w:r>
      <w:bookmarkEnd w:id="21"/>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2" w:name="_Toc532597647"/>
      <w:r>
        <w:lastRenderedPageBreak/>
        <w:t>Escenarios de prueba</w:t>
      </w:r>
      <w:bookmarkEnd w:id="22"/>
    </w:p>
    <w:p w:rsidR="003416E6" w:rsidRDefault="003416E6" w:rsidP="00AC1D1E"/>
    <w:p w:rsidR="003416E6" w:rsidRDefault="003416E6" w:rsidP="003416E6">
      <w:pPr>
        <w:pStyle w:val="Ttulo3"/>
      </w:pPr>
      <w:bookmarkStart w:id="23" w:name="_Toc532597648"/>
      <w:r>
        <w:t>Escenario de prueba 1. Gestión de proyectos (coordinador)</w:t>
      </w:r>
      <w:bookmarkEnd w:id="23"/>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4" w:name="_Toc532597649"/>
      <w:r>
        <w:lastRenderedPageBreak/>
        <w:t>Escenario de prueba 2. Gestión de proyectos (participante)</w:t>
      </w:r>
      <w:bookmarkEnd w:id="24"/>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5" w:name="_Toc532597650"/>
      <w:r>
        <w:lastRenderedPageBreak/>
        <w:t>Escenario de prueba 3. Gestión de proyectos (voluntario)</w:t>
      </w:r>
      <w:bookmarkEnd w:id="25"/>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6" w:name="_Toc532597651"/>
      <w:r>
        <w:lastRenderedPageBreak/>
        <w:t>Escenario de prueba 4. Gestión de proyectos (patrocinador)</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7" w:name="_Toc532597652"/>
      <w:r>
        <w:lastRenderedPageBreak/>
        <w:t>Escenario de prueba 5. Gestión de comunicaciones</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8" w:name="_Toc532597653"/>
      <w:r>
        <w:lastRenderedPageBreak/>
        <w:t>MATRICES DE TRAZABILIDAD</w:t>
      </w:r>
      <w:bookmarkEnd w:id="28"/>
    </w:p>
    <w:p w:rsidR="00060A27" w:rsidRDefault="00060A27" w:rsidP="00060A27"/>
    <w:p w:rsidR="006868ED" w:rsidRDefault="006868ED" w:rsidP="006868ED">
      <w:pPr>
        <w:pStyle w:val="Ttulo2"/>
      </w:pPr>
      <w:bookmarkStart w:id="29" w:name="_Toc532597654"/>
      <w:r>
        <w:t>Matriz clases de entidad y requisitos de información</w:t>
      </w:r>
      <w:bookmarkEnd w:id="29"/>
    </w:p>
    <w:p w:rsidR="00C95931" w:rsidRDefault="00C95931" w:rsidP="00C95931"/>
    <w:p w:rsidR="006868ED" w:rsidRDefault="006868ED" w:rsidP="006868ED"/>
    <w:p w:rsidR="00C95931" w:rsidRDefault="00166405" w:rsidP="00384FF8">
      <w:pPr>
        <w:jc w:val="center"/>
      </w:pPr>
      <w:r>
        <w:rPr>
          <w:noProof/>
        </w:rPr>
        <w:object w:dxaOrig="12020" w:dyaOrig="6344" w14:anchorId="10BD3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3.2pt;height:313.1pt" o:ole="">
            <v:imagedata r:id="rId13" o:title=""/>
          </v:shape>
          <o:OLEObject Type="Embed" ProgID="Excel.Sheet.12" ShapeID="_x0000_i1025" DrawAspect="Content" ObjectID="_1607174395" r:id="rId14"/>
        </w:object>
      </w:r>
    </w:p>
    <w:p w:rsidR="006868ED" w:rsidRDefault="006868ED" w:rsidP="00384FF8"/>
    <w:p w:rsidR="00DC0D23" w:rsidRDefault="00DC0D23" w:rsidP="00384FF8"/>
    <w:p w:rsidR="00C95931" w:rsidRDefault="006868ED" w:rsidP="00C95931">
      <w:pPr>
        <w:pStyle w:val="Ttulo2"/>
      </w:pPr>
      <w:bookmarkStart w:id="30" w:name="_Toc532597655"/>
      <w:r>
        <w:lastRenderedPageBreak/>
        <w:t>Matriz de clases de entidad y reglas de negocio</w:t>
      </w:r>
      <w:bookmarkEnd w:id="30"/>
    </w:p>
    <w:p w:rsidR="00C95931" w:rsidRDefault="00C95931" w:rsidP="00C95931"/>
    <w:p w:rsidR="00DC0D23" w:rsidRDefault="00DC0D23" w:rsidP="00C95931"/>
    <w:p w:rsidR="00DC0D23" w:rsidRDefault="00DC0D23" w:rsidP="00C95931"/>
    <w:p w:rsidR="006868ED" w:rsidRDefault="006868ED" w:rsidP="006868ED"/>
    <w:p w:rsidR="006868ED" w:rsidRDefault="00DC0D23" w:rsidP="00C95931">
      <w:pPr>
        <w:jc w:val="center"/>
      </w:pPr>
      <w:r>
        <w:rPr>
          <w:noProof/>
        </w:rPr>
        <w:object w:dxaOrig="14782" w:dyaOrig="6369">
          <v:shape id="_x0000_i1035" type="#_x0000_t75" alt="" style="width:679.95pt;height:292.95pt" o:ole="">
            <v:imagedata r:id="rId15" o:title=""/>
          </v:shape>
          <o:OLEObject Type="Embed" ProgID="Excel.Sheet.12" ShapeID="_x0000_i1035" DrawAspect="Content" ObjectID="_1607174396" r:id="rId16"/>
        </w:object>
      </w:r>
    </w:p>
    <w:p w:rsidR="006868ED" w:rsidRDefault="006868ED" w:rsidP="00C95931"/>
    <w:p w:rsidR="00DC0D23" w:rsidRDefault="00DC0D23" w:rsidP="00C95931"/>
    <w:p w:rsidR="00DC0D23" w:rsidRDefault="00DC0D23" w:rsidP="00C95931"/>
    <w:p w:rsidR="00C95931" w:rsidRDefault="00C95931" w:rsidP="00C95931"/>
    <w:p w:rsidR="00C95931" w:rsidRDefault="00C95931" w:rsidP="00C95931"/>
    <w:p w:rsidR="00C95931" w:rsidRDefault="00C95931" w:rsidP="00C95931">
      <w:pPr>
        <w:pStyle w:val="Ttulo2"/>
      </w:pPr>
      <w:bookmarkStart w:id="31" w:name="_Toc532597656"/>
      <w:r>
        <w:lastRenderedPageBreak/>
        <w:t>Matriz de asociaciones y requisitos de información</w:t>
      </w:r>
      <w:bookmarkEnd w:id="31"/>
    </w:p>
    <w:p w:rsidR="00C95931" w:rsidRDefault="00C95931" w:rsidP="00C95931"/>
    <w:p w:rsidR="00DC0D23" w:rsidRPr="00C95931" w:rsidRDefault="00DC0D23" w:rsidP="00C95931"/>
    <w:p w:rsidR="00C95931" w:rsidRDefault="00C95931" w:rsidP="00C95931"/>
    <w:p w:rsidR="00DC0D23" w:rsidRDefault="00DC0D23" w:rsidP="00C95931"/>
    <w:p w:rsidR="00C95931" w:rsidRPr="00C95931" w:rsidRDefault="00DC0D23" w:rsidP="00C95931">
      <w:pPr>
        <w:jc w:val="center"/>
      </w:pPr>
      <w:r>
        <w:rPr>
          <w:noProof/>
        </w:rPr>
        <w:object w:dxaOrig="12339" w:dyaOrig="6057">
          <v:shape id="_x0000_i1042" type="#_x0000_t75" alt="" style="width:595.35pt;height:292.25pt" o:ole="">
            <v:imagedata r:id="rId17" o:title=""/>
          </v:shape>
          <o:OLEObject Type="Embed" ProgID="Excel.Sheet.12" ShapeID="_x0000_i1042" DrawAspect="Content" ObjectID="_1607174397"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2" w:name="_Toc532597657"/>
      <w:r>
        <w:lastRenderedPageBreak/>
        <w:t>Matriz de asociaciones y reglas de negocios</w:t>
      </w:r>
      <w:bookmarkEnd w:id="32"/>
    </w:p>
    <w:p w:rsidR="005E3A2D" w:rsidRDefault="005E3A2D" w:rsidP="00C95931"/>
    <w:p w:rsidR="00384FF8" w:rsidRDefault="00384FF8" w:rsidP="00C95931"/>
    <w:p w:rsidR="00DC0D23" w:rsidRDefault="00DC0D23" w:rsidP="00C95931"/>
    <w:p w:rsidR="00DC0D23" w:rsidRDefault="00DC0D23" w:rsidP="00C95931"/>
    <w:p w:rsidR="00C95931" w:rsidRDefault="00DC0D23" w:rsidP="005E3A2D">
      <w:pPr>
        <w:jc w:val="center"/>
      </w:pPr>
      <w:r>
        <w:rPr>
          <w:noProof/>
        </w:rPr>
        <w:object w:dxaOrig="14782" w:dyaOrig="6057">
          <v:shape id="_x0000_i1053" type="#_x0000_t75" alt="" style="width:673.3pt;height:276.2pt" o:ole="">
            <v:imagedata r:id="rId19" o:title=""/>
          </v:shape>
          <o:OLEObject Type="Embed" ProgID="Excel.Sheet.12" ShapeID="_x0000_i1053" DrawAspect="Content" ObjectID="_1607174398"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384FF8" w:rsidRDefault="00384FF8" w:rsidP="00C95931"/>
    <w:p w:rsidR="005E3A2D" w:rsidRDefault="005E3A2D" w:rsidP="005E3A2D">
      <w:pPr>
        <w:pStyle w:val="Ttulo2"/>
      </w:pPr>
      <w:bookmarkStart w:id="33" w:name="_Toc532597658"/>
      <w:r>
        <w:lastRenderedPageBreak/>
        <w:t>Matriz de restricciones y requisitos de información</w:t>
      </w:r>
      <w:bookmarkEnd w:id="33"/>
    </w:p>
    <w:p w:rsidR="005E3A2D" w:rsidRDefault="005E3A2D" w:rsidP="005E3A2D"/>
    <w:p w:rsidR="005E3A2D" w:rsidRPr="005E3A2D" w:rsidRDefault="005E3A2D" w:rsidP="005E3A2D"/>
    <w:p w:rsidR="005E3A2D" w:rsidRDefault="00DC0D23" w:rsidP="00DC0D23">
      <w:pPr>
        <w:jc w:val="center"/>
      </w:pPr>
      <w:r>
        <w:object w:dxaOrig="15673" w:dyaOrig="13228">
          <v:shape id="_x0000_i1072" type="#_x0000_t75" style="width:488.2pt;height:412.7pt" o:ole="">
            <v:imagedata r:id="rId21" o:title=""/>
          </v:shape>
          <o:OLEObject Type="Embed" ProgID="Excel.Sheet.12" ShapeID="_x0000_i1072" DrawAspect="Content" ObjectID="_1607174399" r:id="rId22"/>
        </w:object>
      </w:r>
    </w:p>
    <w:p w:rsidR="005E3A2D" w:rsidRDefault="005E3A2D" w:rsidP="005E3A2D">
      <w:pPr>
        <w:pStyle w:val="Ttulo2"/>
      </w:pPr>
      <w:bookmarkStart w:id="34" w:name="_Toc532597659"/>
      <w:r>
        <w:lastRenderedPageBreak/>
        <w:t>Matriz de restricciones y reglas de negocio</w:t>
      </w:r>
      <w:bookmarkEnd w:id="34"/>
    </w:p>
    <w:p w:rsidR="005E3A2D" w:rsidRDefault="005E3A2D" w:rsidP="005E3A2D"/>
    <w:p w:rsidR="005E3A2D" w:rsidRDefault="00DC0D23" w:rsidP="00DC0D23">
      <w:pPr>
        <w:jc w:val="center"/>
      </w:pPr>
      <w:r>
        <w:object w:dxaOrig="18115" w:dyaOrig="13228">
          <v:shape id="_x0000_i1084" type="#_x0000_t75" style="width:556.15pt;height:407.4pt" o:ole="">
            <v:imagedata r:id="rId23" o:title=""/>
          </v:shape>
          <o:OLEObject Type="Embed" ProgID="Excel.Sheet.12" ShapeID="_x0000_i1084" DrawAspect="Content" ObjectID="_1607174400" r:id="rId24"/>
        </w:object>
      </w:r>
    </w:p>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35" w:name="_Toc532597660"/>
      <w:r>
        <w:lastRenderedPageBreak/>
        <w:t>ANE</w:t>
      </w:r>
      <w:bookmarkStart w:id="36" w:name="_GoBack"/>
      <w:bookmarkEnd w:id="36"/>
      <w:r>
        <w:t>XOS</w:t>
      </w:r>
      <w:bookmarkEnd w:id="35"/>
    </w:p>
    <w:p w:rsidR="00B61704" w:rsidRDefault="00B61704" w:rsidP="00B61704"/>
    <w:p w:rsidR="00B61704" w:rsidRDefault="00B61704" w:rsidP="00B61704">
      <w:pPr>
        <w:pStyle w:val="Ttulo2"/>
      </w:pPr>
      <w:bookmarkStart w:id="37" w:name="_Toc532597661"/>
      <w:r>
        <w:t>Anexo I: Prototipo de newsletter</w:t>
      </w:r>
      <w:bookmarkEnd w:id="37"/>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F371BF" w:rsidRPr="00BA54DD" w:rsidRDefault="00F371BF"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F371BF" w:rsidRPr="00BA54DD" w:rsidRDefault="00F371BF"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38" w:name="_Toc530491234"/>
      <w:bookmarkStart w:id="39" w:name="_Toc532597662"/>
      <w:r>
        <w:t>Anexo II: Acta de reunión</w:t>
      </w:r>
      <w:bookmarkEnd w:id="38"/>
      <w:bookmarkEnd w:id="39"/>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B5C" w:rsidRDefault="00D34B5C" w:rsidP="005F4B5B">
      <w:r>
        <w:separator/>
      </w:r>
    </w:p>
  </w:endnote>
  <w:endnote w:type="continuationSeparator" w:id="0">
    <w:p w:rsidR="00D34B5C" w:rsidRDefault="00D34B5C"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EndPr>
      <w:rPr>
        <w:rStyle w:val="Nmerodepgina"/>
      </w:rPr>
    </w:sdtEndPr>
    <w:sdtContent>
      <w:p w:rsidR="00F371BF" w:rsidRDefault="00F371BF"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371BF" w:rsidRDefault="00F371BF"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EndPr/>
    <w:sdtContent>
      <w:p w:rsidR="00F371BF" w:rsidRDefault="00F371BF">
        <w:pPr>
          <w:pStyle w:val="Piedepgina"/>
          <w:jc w:val="right"/>
        </w:pPr>
        <w:r>
          <w:fldChar w:fldCharType="begin"/>
        </w:r>
        <w:r>
          <w:instrText>PAGE   \* MERGEFORMAT</w:instrText>
        </w:r>
        <w:r>
          <w:fldChar w:fldCharType="separate"/>
        </w:r>
        <w:r>
          <w:rPr>
            <w:noProof/>
          </w:rPr>
          <w:t>47</w:t>
        </w:r>
        <w:r>
          <w:fldChar w:fldCharType="end"/>
        </w:r>
      </w:p>
    </w:sdtContent>
  </w:sdt>
  <w:p w:rsidR="00F371BF" w:rsidRDefault="00F371BF"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B5C" w:rsidRDefault="00D34B5C" w:rsidP="005F4B5B">
      <w:r>
        <w:separator/>
      </w:r>
    </w:p>
  </w:footnote>
  <w:footnote w:type="continuationSeparator" w:id="0">
    <w:p w:rsidR="00D34B5C" w:rsidRDefault="00D34B5C" w:rsidP="005F4B5B">
      <w:r>
        <w:continuationSeparator/>
      </w:r>
    </w:p>
  </w:footnote>
  <w:footnote w:id="1">
    <w:p w:rsidR="00F371BF" w:rsidRDefault="00F371BF">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F371BF" w:rsidRDefault="00F371BF">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F371BF" w:rsidRDefault="00F371BF">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F371BF" w:rsidRDefault="00F371BF">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F371BF" w:rsidRDefault="00F371BF">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F371BF" w:rsidRPr="001401E7" w:rsidRDefault="00F371BF">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F371BF" w:rsidRDefault="00F371BF">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F371BF" w:rsidRDefault="00F371BF">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6"/>
  </w:num>
  <w:num w:numId="5">
    <w:abstractNumId w:val="7"/>
  </w:num>
  <w:num w:numId="6">
    <w:abstractNumId w:val="0"/>
  </w:num>
  <w:num w:numId="7">
    <w:abstractNumId w:val="8"/>
  </w:num>
  <w:num w:numId="8">
    <w:abstractNumId w:val="14"/>
  </w:num>
  <w:num w:numId="9">
    <w:abstractNumId w:val="9"/>
  </w:num>
  <w:num w:numId="10">
    <w:abstractNumId w:val="2"/>
  </w:num>
  <w:num w:numId="11">
    <w:abstractNumId w:val="5"/>
  </w:num>
  <w:num w:numId="12">
    <w:abstractNumId w:val="15"/>
  </w:num>
  <w:num w:numId="13">
    <w:abstractNumId w:val="13"/>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6405"/>
    <w:rsid w:val="00167204"/>
    <w:rsid w:val="00167CFF"/>
    <w:rsid w:val="00181340"/>
    <w:rsid w:val="00195970"/>
    <w:rsid w:val="00195AE1"/>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27CF4"/>
    <w:rsid w:val="002352BA"/>
    <w:rsid w:val="00244942"/>
    <w:rsid w:val="0028205E"/>
    <w:rsid w:val="002869BE"/>
    <w:rsid w:val="00290311"/>
    <w:rsid w:val="002A2847"/>
    <w:rsid w:val="002A32FE"/>
    <w:rsid w:val="002B6174"/>
    <w:rsid w:val="002B76AE"/>
    <w:rsid w:val="002D5541"/>
    <w:rsid w:val="002D7DE1"/>
    <w:rsid w:val="002E4963"/>
    <w:rsid w:val="002F17ED"/>
    <w:rsid w:val="002F26DC"/>
    <w:rsid w:val="00321007"/>
    <w:rsid w:val="0033732B"/>
    <w:rsid w:val="003416E6"/>
    <w:rsid w:val="0035193B"/>
    <w:rsid w:val="00360F7A"/>
    <w:rsid w:val="00367E11"/>
    <w:rsid w:val="00381D60"/>
    <w:rsid w:val="00384FF8"/>
    <w:rsid w:val="003877CF"/>
    <w:rsid w:val="00387C1A"/>
    <w:rsid w:val="00396A45"/>
    <w:rsid w:val="003A5E2B"/>
    <w:rsid w:val="003A6E7F"/>
    <w:rsid w:val="003C0B54"/>
    <w:rsid w:val="003C4C4A"/>
    <w:rsid w:val="003C5258"/>
    <w:rsid w:val="003F5FB2"/>
    <w:rsid w:val="00406A60"/>
    <w:rsid w:val="004140D5"/>
    <w:rsid w:val="0042187F"/>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F7C75"/>
    <w:rsid w:val="00512EA3"/>
    <w:rsid w:val="00520989"/>
    <w:rsid w:val="00521EC3"/>
    <w:rsid w:val="00540312"/>
    <w:rsid w:val="0055038A"/>
    <w:rsid w:val="00551CEB"/>
    <w:rsid w:val="00552788"/>
    <w:rsid w:val="00555AF0"/>
    <w:rsid w:val="00556F05"/>
    <w:rsid w:val="00557B6A"/>
    <w:rsid w:val="00557EFD"/>
    <w:rsid w:val="00562845"/>
    <w:rsid w:val="00563F95"/>
    <w:rsid w:val="00570EE1"/>
    <w:rsid w:val="00572008"/>
    <w:rsid w:val="005828E2"/>
    <w:rsid w:val="00584FE1"/>
    <w:rsid w:val="00591763"/>
    <w:rsid w:val="005955C7"/>
    <w:rsid w:val="00597C4B"/>
    <w:rsid w:val="005B627B"/>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868ED"/>
    <w:rsid w:val="00687973"/>
    <w:rsid w:val="0069429E"/>
    <w:rsid w:val="006E5A8E"/>
    <w:rsid w:val="006E664E"/>
    <w:rsid w:val="006F1984"/>
    <w:rsid w:val="006F7AFA"/>
    <w:rsid w:val="007068CC"/>
    <w:rsid w:val="00725EA9"/>
    <w:rsid w:val="007310BA"/>
    <w:rsid w:val="00744ECF"/>
    <w:rsid w:val="00746E18"/>
    <w:rsid w:val="00763633"/>
    <w:rsid w:val="0079004B"/>
    <w:rsid w:val="007A5D7C"/>
    <w:rsid w:val="007B7773"/>
    <w:rsid w:val="007C33F3"/>
    <w:rsid w:val="007C57E7"/>
    <w:rsid w:val="007D1706"/>
    <w:rsid w:val="007E2FBD"/>
    <w:rsid w:val="007F5164"/>
    <w:rsid w:val="00811924"/>
    <w:rsid w:val="008130C3"/>
    <w:rsid w:val="00833998"/>
    <w:rsid w:val="00841AF5"/>
    <w:rsid w:val="008420D1"/>
    <w:rsid w:val="00843D6E"/>
    <w:rsid w:val="0085080C"/>
    <w:rsid w:val="00863469"/>
    <w:rsid w:val="00864398"/>
    <w:rsid w:val="008664FB"/>
    <w:rsid w:val="00870380"/>
    <w:rsid w:val="00873081"/>
    <w:rsid w:val="008774C8"/>
    <w:rsid w:val="008805B2"/>
    <w:rsid w:val="00880BAC"/>
    <w:rsid w:val="00893050"/>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E3A26"/>
    <w:rsid w:val="00AF7558"/>
    <w:rsid w:val="00AF7C61"/>
    <w:rsid w:val="00B0222D"/>
    <w:rsid w:val="00B06797"/>
    <w:rsid w:val="00B22840"/>
    <w:rsid w:val="00B33BA5"/>
    <w:rsid w:val="00B34714"/>
    <w:rsid w:val="00B350EC"/>
    <w:rsid w:val="00B61360"/>
    <w:rsid w:val="00B61704"/>
    <w:rsid w:val="00B61B30"/>
    <w:rsid w:val="00B6337E"/>
    <w:rsid w:val="00B709DF"/>
    <w:rsid w:val="00B8499C"/>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5B5D"/>
    <w:rsid w:val="00CD6373"/>
    <w:rsid w:val="00CD779F"/>
    <w:rsid w:val="00CF46E4"/>
    <w:rsid w:val="00D009C6"/>
    <w:rsid w:val="00D053D9"/>
    <w:rsid w:val="00D06429"/>
    <w:rsid w:val="00D2108A"/>
    <w:rsid w:val="00D21165"/>
    <w:rsid w:val="00D24666"/>
    <w:rsid w:val="00D3365E"/>
    <w:rsid w:val="00D34B5C"/>
    <w:rsid w:val="00D4161A"/>
    <w:rsid w:val="00D51B58"/>
    <w:rsid w:val="00D5263C"/>
    <w:rsid w:val="00D737E6"/>
    <w:rsid w:val="00D92F86"/>
    <w:rsid w:val="00D97EDD"/>
    <w:rsid w:val="00DA63F2"/>
    <w:rsid w:val="00DB323C"/>
    <w:rsid w:val="00DB794D"/>
    <w:rsid w:val="00DC08BF"/>
    <w:rsid w:val="00DC0D23"/>
    <w:rsid w:val="00DC3365"/>
    <w:rsid w:val="00DD729F"/>
    <w:rsid w:val="00DE0CFA"/>
    <w:rsid w:val="00DE5383"/>
    <w:rsid w:val="00DE55AF"/>
    <w:rsid w:val="00DF32E2"/>
    <w:rsid w:val="00DF5F93"/>
    <w:rsid w:val="00DF798F"/>
    <w:rsid w:val="00E0112D"/>
    <w:rsid w:val="00E17B24"/>
    <w:rsid w:val="00E23188"/>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36E2"/>
    <w:rsid w:val="00F13813"/>
    <w:rsid w:val="00F179D2"/>
    <w:rsid w:val="00F21D4B"/>
    <w:rsid w:val="00F37116"/>
    <w:rsid w:val="00F371BF"/>
    <w:rsid w:val="00F4792F"/>
    <w:rsid w:val="00F519BE"/>
    <w:rsid w:val="00F5548E"/>
    <w:rsid w:val="00F57222"/>
    <w:rsid w:val="00F70405"/>
    <w:rsid w:val="00F71908"/>
    <w:rsid w:val="00F74A9E"/>
    <w:rsid w:val="00F82C7D"/>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AEBF"/>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CFBB8-DFC8-45CE-B128-26973CA6B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47</Pages>
  <Words>8515</Words>
  <Characters>46838</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148</cp:revision>
  <cp:lastPrinted>2018-12-14T20:14:00Z</cp:lastPrinted>
  <dcterms:created xsi:type="dcterms:W3CDTF">2018-10-18T20:31:00Z</dcterms:created>
  <dcterms:modified xsi:type="dcterms:W3CDTF">2018-12-24T15:33:00Z</dcterms:modified>
</cp:coreProperties>
</file>