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rFonts w:ascii="PT Serif" w:hAnsi="PT Serif"/>
          <w:b/>
          <w:color w:val="1E2761"/>
          <w:sz w:val="30"/>
        </w:rPr>
        <w:t>Записка посреднику: ХМАО-Югра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Внутренний документ. Адресатам не передавать.</w:t>
      </w:r>
      <w:r>
        <w:rPr>
          <w:rFonts w:ascii="PT Serif" w:hAnsi="PT Serif"/>
          <w:sz w:val="20"/>
        </w:rPr>
        <w:t xml:space="preserve"> Показываемые материалы — деки и справки в этом каталоге; там боли сформулированы дипломатично. Здесь — прямые формулировки, вилки цен и логика торга. Дополняет универсальную памятку переговорщика (../../negotiation/playbook.md) — правила «денег не просим», «говорим на языке его показателей», «не критикуем построенное» действуют и здесь.</w:t>
      </w:r>
    </w:p>
    <w:p>
      <w:pPr>
        <w:spacing w:after="100" w:before="0"/>
        <w:jc w:val="both"/>
      </w:pPr>
      <w:r>
        <w:rPr>
          <w:rFonts w:ascii="PT Serif" w:hAnsi="PT Serif"/>
          <w:sz w:val="20"/>
        </w:rPr>
        <w:t>Каждый факт в записке — из разведки этого каталога, там же URL первоисточников: завод, ведомство, рынок. Перед встречей факты сверить: часть взята из поисковых сниппетов (агрегаторы блокируют автоматический доступ).</w:t>
      </w:r>
    </w:p>
    <w:p>
      <w:pPr>
        <w:spacing w:after="60" w:before="160"/>
        <w:jc w:val="left"/>
      </w:pPr>
      <w:r>
        <w:rPr>
          <w:rFonts w:ascii="PT Serif" w:hAnsi="PT Serif"/>
          <w:b/>
          <w:color w:val="1E2761"/>
          <w:sz w:val="24"/>
        </w:rPr>
        <w:t>Трек 1. АО «Югорский рыбоводный завод»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Кто решает.</w:t>
      </w:r>
      <w:r>
        <w:rPr>
          <w:rFonts w:ascii="PT Serif" w:hAnsi="PT Serif"/>
          <w:sz w:val="20"/>
        </w:rPr>
        <w:t xml:space="preserve"> Гендиректор — Воронцов Николай Олегович (с 12.2020). Завод частный: в 2020 округ продал 100% акций за 798 млн ₽ ООО «Сервис-поставка Урал» (Екатеринбург); конечный бенефициар публично не раскрыт — уточнить у посредника, кто реально принимает решения о расходах. Активы ~2,9 млрд ₽, 102 сотрудника.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Что у них болит (прямо, не для показа).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 xml:space="preserve">1. </w:t>
      </w:r>
      <w:r>
        <w:rPr>
          <w:rFonts w:ascii="PT Serif" w:hAnsi="PT Serif"/>
          <w:b/>
          <w:sz w:val="20"/>
        </w:rPr>
        <w:t>Корма.</w:t>
      </w:r>
      <w:r>
        <w:rPr>
          <w:rFonts w:ascii="PT Serif" w:hAnsi="PT Serif"/>
          <w:sz w:val="20"/>
        </w:rPr>
        <w:t xml:space="preserve"> Судились с поставщиком из-за сорванной поставки датского корма BioMar (вместо него привезли запрещённый Россельхознадзором турецкий); взыскали &gt;3,5 млн ₽. Импортозависимость по кормам для ценных видов — до 90%. Это подтверждённая деньгами боль.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 xml:space="preserve">2. </w:t>
      </w:r>
      <w:r>
        <w:rPr>
          <w:rFonts w:ascii="PT Serif" w:hAnsi="PT Serif"/>
          <w:b/>
          <w:sz w:val="20"/>
        </w:rPr>
        <w:t>Выручка просела.</w:t>
      </w:r>
      <w:r>
        <w:rPr>
          <w:rFonts w:ascii="PT Serif" w:hAnsi="PT Serif"/>
          <w:sz w:val="20"/>
        </w:rPr>
        <w:t xml:space="preserve"> Пик 2024 (818–944 млн ₽ по разным агрегаторам) → спад 2025 на 21–31%, прибыль упала примерно вдвое. Зависимость от компенсационного спроса якорного заказчика («Роснефть»). Диверсификация доходов — их живой интерес.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 xml:space="preserve">3. </w:t>
      </w:r>
      <w:r>
        <w:rPr>
          <w:rFonts w:ascii="PT Serif" w:hAnsi="PT Serif"/>
          <w:b/>
          <w:sz w:val="20"/>
        </w:rPr>
        <w:t>Амбиция роста без технологий под неё.</w:t>
      </w:r>
      <w:r>
        <w:rPr>
          <w:rFonts w:ascii="PT Serif" w:hAnsi="PT Serif"/>
          <w:sz w:val="20"/>
        </w:rPr>
        <w:t xml:space="preserve"> Публично заявили готовность нарастить выпуск с ~34–50 до 110 млн шт. молоди в год и просят федеральную поддержку; строят подразделение в Берёзово (Арктическая зона); пятый цех ждёт реконструкции. Рост такого масштаба упрётся в посадочный материал, корма и энергетику УЗВ.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 xml:space="preserve">4. </w:t>
      </w:r>
      <w:r>
        <w:rPr>
          <w:rFonts w:ascii="PT Serif" w:hAnsi="PT Serif"/>
          <w:b/>
          <w:sz w:val="20"/>
        </w:rPr>
        <w:t>Риск катастрофы одной вспышки.</w:t>
      </w:r>
      <w:r>
        <w:rPr>
          <w:rFonts w:ascii="PT Serif" w:hAnsi="PT Serif"/>
          <w:sz w:val="20"/>
        </w:rPr>
        <w:t xml:space="preserve"> Маточное стадо 70+ т в УЗВ; в истории завода — гибель &gt;90 млн заказанных личинок (до приватизации). Биозащита и мониторинг — страховка их главного актива.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 xml:space="preserve">5. </w:t>
      </w:r>
      <w:r>
        <w:rPr>
          <w:rFonts w:ascii="PT Serif" w:hAnsi="PT Serif"/>
          <w:b/>
          <w:sz w:val="20"/>
        </w:rPr>
        <w:t>Кадры.</w:t>
      </w:r>
      <w:r>
        <w:rPr>
          <w:rFonts w:ascii="PT Serif" w:hAnsi="PT Serif"/>
          <w:sz w:val="20"/>
        </w:rPr>
        <w:t xml:space="preserve"> Открытые вакансии, вступили в программу производительности труда — людей не хватает, автоматизация им в тему.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Чего не говорить.</w:t>
      </w:r>
      <w:r>
        <w:rPr>
          <w:rFonts w:ascii="PT Serif" w:hAnsi="PT Serif"/>
          <w:sz w:val="20"/>
        </w:rPr>
        <w:t xml:space="preserve"> Не упоминать судебную историю с кормами и просадку выручки как «мы знаем, что у вас плохо» — они сами выведут на это, если спросить про корма и планы роста. Не обещать субсидии — только «заявки готовим мы». Не называть завод «бывшим государственным».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Мостики для разговора.</w:t>
      </w:r>
      <w:r>
        <w:rPr>
          <w:rFonts w:ascii="PT Serif" w:hAnsi="PT Serif"/>
          <w:sz w:val="20"/>
        </w:rPr>
        <w:t xml:space="preserve"> «Вы заявили 110 миллионов мальков в год — что сейчас главный ограничитель: икра, корма или энергетика?»; «Как закрыли кормовой вопрос после истории с импортом?»; «Берёзово — какая там схема водоподготовки?»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Оффер.</w:t>
      </w:r>
      <w:r>
        <w:rPr>
          <w:rFonts w:ascii="PT Serif" w:hAnsi="PT Serif"/>
          <w:sz w:val="20"/>
        </w:rPr>
        <w:t xml:space="preserve"> Оплачиваемый пилот «диагностика + подбор» под одну задачу. Вилки — только при прямом вопросе о деньгах: диагностика 0,8–1,5 млн ₽ (3–4 недели), подбор с научной проверкой 1,5–4 млн ₽ (6–8 недель); сопровождение сделки — по договорённости плюс вознаграждение за результат. Логика торга: первому клиенту в регионе — условия первопроходца (нижняя граница вилки), в обмен — право сослаться на пилот в открытом отчёте (обезличенно, по согласованию). Аргумент цены: сравнивать не с нулём, а с ценой нерешённой задачи — одна вспышка в УЗВ или год простоя пятого цеха дороже пилота на порядок; с ПП-218 и двойным вычетом исследовательская часть дешевеет кратно.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Возражения сверх универсальной памятки.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>— «Мы сами знаем всех рыбоводных учёных» — Знаете отраслевых. Решения по кормам, генетике и машинному зрению живут в институтах вне отрасли: биотех, ИТ, материалы. Мы ищем поперёк отраслей и приносим сравнение.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>— «У нас нет денег, выручка упала» — Поэтому и предлагаем этапность с точками выхода и господдержку: до 70% стоимости исследований возмещает ПП-218, вычет идёт без конкурса. И начинаем с задачи, которая возвращает деньги, а не тратит их.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>— «Наши задачи — коммерческая тайна» — NDA до начала диагностики, задачи не публикуются, в отчёт — только обезличенное и по согласованию.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Цель встречи.</w:t>
      </w:r>
      <w:r>
        <w:rPr>
          <w:rFonts w:ascii="PT Serif" w:hAnsi="PT Serif"/>
          <w:sz w:val="20"/>
        </w:rPr>
        <w:t xml:space="preserve"> Максимум: выбрана задача пилота и дата старта диагностики. Норма: согласие на техническую сессию с технологами (2 часа). Минимум: дата возврата с демонстрацией «Ситалл Скаут» на их примере.</w:t>
      </w:r>
    </w:p>
    <w:p>
      <w:pPr>
        <w:spacing w:after="60" w:before="160"/>
        <w:jc w:val="left"/>
      </w:pPr>
      <w:r>
        <w:rPr>
          <w:rFonts w:ascii="PT Serif" w:hAnsi="PT Serif"/>
          <w:b/>
          <w:color w:val="1E2761"/>
          <w:sz w:val="24"/>
        </w:rPr>
        <w:t>Трек 2. Депнедра и природных ресурсов Югры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Кто решает.</w:t>
      </w:r>
      <w:r>
        <w:rPr>
          <w:rFonts w:ascii="PT Serif" w:hAnsi="PT Serif"/>
          <w:sz w:val="20"/>
        </w:rPr>
        <w:t xml:space="preserve"> Директор департамента — Филатов Сергей Александрович; куратор блока — первый заместитель губернатора Забозлаев Алексей Геннадиевич (координирует и Депнедра, и Природнадзор). Губернатор — Кухарук Руслан Николаевич (с 2024). Отдельный трек — Природнадзор Югры (руководитель Ковалевский Алексей Николаевич): надзор, доклад об экологической ситуации. Важно: ведомство называется «департамент», не «министерство» — в документах и речи использовать точное название.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Что у них болит (прямо, не для показа).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 xml:space="preserve">1. </w:t>
      </w:r>
      <w:r>
        <w:rPr>
          <w:rFonts w:ascii="PT Serif" w:hAnsi="PT Serif"/>
          <w:b/>
          <w:sz w:val="20"/>
        </w:rPr>
        <w:t>Дедлайн-2027 по нефтезагрязнённым землям.</w:t>
      </w:r>
      <w:r>
        <w:rPr>
          <w:rFonts w:ascii="PT Serif" w:hAnsi="PT Serif"/>
          <w:sz w:val="20"/>
        </w:rPr>
        <w:t xml:space="preserve"> Забозлаев публично обещал ликвидировать все нефтезагрязнённые земли к 2027 году — при темпе рекультивации ~1000 га/год и репутации «регион № 1 по ущербу природе от нефтяников» (&gt;18 тыс. разливов за 2014–2020, в основном коррозия труб). Это личный публичный KPI куратора с горизонтом «завтра».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 xml:space="preserve">2. </w:t>
      </w:r>
      <w:r>
        <w:rPr>
          <w:rFonts w:ascii="PT Serif" w:hAnsi="PT Serif"/>
          <w:b/>
          <w:sz w:val="20"/>
        </w:rPr>
        <w:t>Вода.</w:t>
      </w:r>
      <w:r>
        <w:rPr>
          <w:rFonts w:ascii="PT Serif" w:hAnsi="PT Serif"/>
          <w:sz w:val="20"/>
        </w:rPr>
        <w:t xml:space="preserve"> 226 случаев высокого и экстремально высокого загрязнения Оби и Иртыша за 2023 год; чистой воды нет ни в одном створе.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 xml:space="preserve">3. </w:t>
      </w:r>
      <w:r>
        <w:rPr>
          <w:rFonts w:ascii="PT Serif" w:hAnsi="PT Serif"/>
          <w:b/>
          <w:sz w:val="20"/>
        </w:rPr>
        <w:t>Рыба.</w:t>
      </w:r>
      <w:r>
        <w:rPr>
          <w:rFonts w:ascii="PT Serif" w:hAnsi="PT Serif"/>
          <w:sz w:val="20"/>
        </w:rPr>
        <w:t xml:space="preserve"> Запрет вылова муксуна с 2014; программа восстановления сиговых одобрена по поручению Президента, но Совет Федерации прямо критикует её за отсутствие финансирования. Регион просит удвоить выпуски молоди.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 xml:space="preserve">4. </w:t>
      </w:r>
      <w:r>
        <w:rPr>
          <w:rFonts w:ascii="PT Serif" w:hAnsi="PT Serif"/>
          <w:b/>
          <w:sz w:val="20"/>
        </w:rPr>
        <w:t>Отходы.</w:t>
      </w:r>
      <w:r>
        <w:rPr>
          <w:rFonts w:ascii="PT Serif" w:hAnsi="PT Serif"/>
          <w:sz w:val="20"/>
        </w:rPr>
        <w:t xml:space="preserve"> Дорожная карта по ТКО до 2028, полигоны в 10 муниципалитетах до 2029, новая госпрограмма «Экономика замкнутого цикла» (10,2 млрд ₽) — при свежем срыве рекультивации полигона Нижневартовска подрядчиком (550 млн ₽). Боятся подрядчиков, которые не доводят до результата.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 xml:space="preserve">5. </w:t>
      </w:r>
      <w:r>
        <w:rPr>
          <w:rFonts w:ascii="PT Serif" w:hAnsi="PT Serif"/>
          <w:b/>
          <w:sz w:val="20"/>
        </w:rPr>
        <w:t>Инновационный разрыв региона.</w:t>
      </w:r>
      <w:r>
        <w:rPr>
          <w:rFonts w:ascii="PT Serif" w:hAnsi="PT Serif"/>
          <w:sz w:val="20"/>
        </w:rPr>
        <w:t xml:space="preserve"> Инновационная активность 5,8% (у соседей по УрФО — 10–12%), затраты на ИиР за пять лет сократились при росте по стране на 56%. При этом регион строит ИНТЦ «Юнити Парк» и поднялся на 14 позиций в рейтинге ВШЭ — «витрина» им важна.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Чего не говорить.</w:t>
      </w:r>
      <w:r>
        <w:rPr>
          <w:rFonts w:ascii="PT Serif" w:hAnsi="PT Serif"/>
          <w:sz w:val="20"/>
        </w:rPr>
        <w:t xml:space="preserve"> Не произносить «регион № 1 по ущербу» и «5,8%» вслух — это оценка их работы; разрыв формулируем как общероссийский. Не предлагать участие в госзакупках (правило памятки — убивает партнёрский формат). Не конкурировать с НАЦ им. Шпильмана — это «их» научный штаб: мы приводим ему заказ. Не обещать конкретные гектары/показатели — только процесс и счётные обязательства.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Мостики для разговора.</w:t>
      </w:r>
      <w:r>
        <w:rPr>
          <w:rFonts w:ascii="PT Serif" w:hAnsi="PT Serif"/>
          <w:sz w:val="20"/>
        </w:rPr>
        <w:t xml:space="preserve"> «По рекультивации к 2027 году — где сейчас самое узкое место: технологии, подрядчики или деньги недропользователей?»; «Совет Федерации пишет, что программа по сиговым без финансирования — что могло бы сдвинуть её с места в округе?»; «Экспертный совет по инновациям в нефтегазовой отрасли — когда заработает и кто формирует повестку?»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Оффер.</w:t>
      </w:r>
      <w:r>
        <w:rPr>
          <w:rFonts w:ascii="PT Serif" w:hAnsi="PT Serif"/>
          <w:sz w:val="20"/>
        </w:rPr>
        <w:t xml:space="preserve"> Соглашение (меморандум) о сотрудничестве + представление 5–7 предприятиям-недропользователям + участие в площадках (включая экспертный совет по инновациям). Счётные обязательства первого года за наш счёт: 10 задач, 5 подборов, 2 заявки, 1 внедрение, открытый отчёт. Денег у бюджета не просим — платят предприятия. Ключевой аргумент: обязательства недропользователей по компенсации вреда (выпуски молоди, рекультивация) — это уже существующие частные деньги, которым нужны проверенные технологии; ведомство получает выполнение своих показателей чужими руками и без расходов.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Возражения сверх универсальной памятки.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>— «У нас есть НАЦ им. Шпильмана, он ведёт науку» — НАЦ — научный штаб недропользования, и мы приходим к нему с заказом, а не вместо него. Наша работа — та, которой у него нет: перевод задач предприятий в ТЗ, сравнение решений по всей стране, сборка сделки и ответственность за внедрение.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>— «Экология — это Природнадзор, не мы» — Верно, надзор у Природнадзора. Мы про другое: технологии для недропользователей, чтобы показатели, по которым отчитывается округ, выполнялись. Готовы отдельно представиться и Природнадзору.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>— «Предприятия сами разберутся» — Разбираются 10 лет: ~17 из 18 тысяч аварий — коррозия старых труб. Мы приносим им сравнение готовых решений и господдержку — им дешевле, округу быстрее.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>— «Подрядчики нас уже подводили» — Поэтому наши обязательства счётные и публичные, а часть вознаграждения мы получаем только при внедрении. Провалим — это будет видно всем, и вы ничего не потеряете.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Цель встречи.</w:t>
      </w:r>
      <w:r>
        <w:rPr>
          <w:rFonts w:ascii="PT Serif" w:hAnsi="PT Serif"/>
          <w:sz w:val="20"/>
        </w:rPr>
        <w:t xml:space="preserve"> Максимум: поручение проработать проект соглашения + представление 2–3 недропользователям. Норма: определено профильное подразделение и назначена рабочая встреча. Минимум: согласие на возврат с результатами первого пилота (например, по заводу) и дата.</w:t>
      </w:r>
    </w:p>
    <w:p>
      <w:pPr>
        <w:spacing w:after="60" w:before="160"/>
        <w:jc w:val="left"/>
      </w:pPr>
      <w:r>
        <w:rPr>
          <w:rFonts w:ascii="PT Serif" w:hAnsi="PT Serif"/>
          <w:b/>
          <w:color w:val="1E2761"/>
          <w:sz w:val="24"/>
        </w:rPr>
        <w:t>Связка треков</w:t>
      </w:r>
    </w:p>
    <w:p>
      <w:pPr>
        <w:spacing w:after="100" w:before="0"/>
        <w:jc w:val="both"/>
      </w:pPr>
      <w:r>
        <w:rPr>
          <w:rFonts w:ascii="PT Serif" w:hAnsi="PT Serif"/>
          <w:sz w:val="20"/>
        </w:rPr>
        <w:t>Завод — быстрый коммерческий пилот и живой кейс; ведомство — канал к недропользователям и статус. Порядок гибкий, но кейс завода усиливает разговор с ведомством («мы уже работаем с предприятием в округе»), а соглашение с ведомством усиливает позицию перед заводом и его заказчиками. Завод до 2020 принадлежал округу и остаётся точкой компенсационных мероприятий недропользователей — оба трека замыкаются на одних и тех же плательщиков: нефтегазовые компании с обязательствами по возмещению вреда.</w:t>
      </w:r>
    </w:p>
    <w:p>
      <w:pPr>
        <w:spacing w:after="60" w:before="160"/>
        <w:jc w:val="left"/>
      </w:pPr>
      <w:r>
        <w:rPr>
          <w:rFonts w:ascii="PT Serif" w:hAnsi="PT Serif"/>
          <w:b/>
          <w:color w:val="1E2761"/>
          <w:sz w:val="24"/>
        </w:rPr>
        <w:t>После каждой встречи</w:t>
      </w:r>
    </w:p>
    <w:p>
      <w:pPr>
        <w:spacing w:after="100" w:before="0"/>
        <w:jc w:val="both"/>
      </w:pPr>
      <w:r>
        <w:rPr>
          <w:rFonts w:ascii="PT Serif" w:hAnsi="PT Serif"/>
          <w:sz w:val="20"/>
        </w:rPr>
        <w:t>Заполнить запись в log.md в течение часа; новые возражения — дописать сюда и в универсальную памятку.</w:t>
      </w:r>
    </w:p>
    <w:sectPr w:rsidR="00FC693F" w:rsidRPr="0006063C" w:rsidSect="00034616">
      <w:pgSz w:w="11906" w:h="16838"/>
      <w:pgMar w:top="794" w:right="850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PT Serif" w:hAnsi="PT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