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PT Serif" w:hAnsi="PT Serif" w:cs="PT Serif"/>
          <w:b/>
          <w:i w:val="0"/>
          <w:color w:val="000000"/>
          <w:sz w:val="25"/>
        </w:rPr>
        <w:t>СПРАВКА</w:t>
      </w:r>
    </w:p>
    <w:p>
      <w:pPr>
        <w:spacing w:before="0" w:after="160" w:line="240" w:lineRule="auto"/>
        <w:jc w:val="center"/>
      </w:pPr>
      <w:r>
        <w:rPr>
          <w:rFonts w:ascii="PT Serif" w:hAnsi="PT Serif" w:cs="PT Serif"/>
          <w:b/>
          <w:i w:val="0"/>
          <w:color w:val="000000"/>
          <w:sz w:val="21"/>
        </w:rPr>
        <w:t>о предложении компании «Ситалл» по сотрудничеству</w:t>
        <w:br/>
        <w:t>в сфере трансфера и внедрения технологий в промышленности</w:t>
      </w:r>
    </w:p>
    <w:p>
      <w:pPr>
        <w:spacing w:before="0" w:after="40" w:line="240" w:lineRule="auto"/>
        <w:jc w:val="left"/>
      </w:pPr>
      <w:r>
        <w:rPr>
          <w:rFonts w:ascii="PT Serif" w:hAnsi="PT Serif" w:cs="PT Serif"/>
          <w:b/>
          <w:i w:val="0"/>
          <w:color w:val="000000"/>
          <w:sz w:val="21"/>
        </w:rPr>
        <w:t>1. Суть предложения</w:t>
      </w:r>
    </w:p>
    <w:p>
      <w:pPr>
        <w:spacing w:before="0" w:after="120" w:line="240" w:lineRule="auto"/>
        <w:jc w:val="both"/>
      </w:pPr>
      <w:r>
        <w:rPr>
          <w:rFonts w:ascii="PT Serif" w:hAnsi="PT Serif" w:cs="PT Serif"/>
          <w:b w:val="0"/>
          <w:i w:val="0"/>
          <w:color w:val="000000"/>
          <w:sz w:val="20"/>
        </w:rPr>
        <w:t>Предлагается заключить соглашение (меморандум) о сотрудничестве в сфере научно-технического развития, трансфера и внедрения технологий в промышленности [региона / отрасли]. Предмет соглашения: совместная работа по выявлению технологических задач промышленных предприятий, подбору и независимой научной проверке решений, привлечению федерального софинансирования и сопровождению внедрения. Соглашение не предполагает расходов бюджета.</w:t>
      </w:r>
    </w:p>
    <w:p>
      <w:pPr>
        <w:spacing w:before="0" w:after="40" w:line="240" w:lineRule="auto"/>
        <w:jc w:val="left"/>
      </w:pPr>
      <w:r>
        <w:rPr>
          <w:rFonts w:ascii="PT Serif" w:hAnsi="PT Serif" w:cs="PT Serif"/>
          <w:b/>
          <w:i w:val="0"/>
          <w:color w:val="000000"/>
          <w:sz w:val="21"/>
        </w:rPr>
        <w:t>2. О компании</w:t>
      </w:r>
    </w:p>
    <w:p>
      <w:pPr>
        <w:spacing w:before="0" w:after="60" w:line="240" w:lineRule="auto"/>
        <w:jc w:val="both"/>
      </w:pPr>
      <w:r>
        <w:rPr>
          <w:rFonts w:ascii="PT Serif" w:hAnsi="PT Serif" w:cs="PT Serif"/>
          <w:b w:val="0"/>
          <w:i w:val="0"/>
          <w:color w:val="000000"/>
          <w:sz w:val="20"/>
        </w:rPr>
        <w:t>«Ситалл» работает технологическим брокером для промышленности: находит под конкретную задачу предприятия готовые научные решения, проверяет их с профильными учёными, структурирует сделку с государственным софинансированием и сопровождает внедрение через инжиниринговые центры и институты-партнёры. Компания идёт от задачи предприятия, а не от предложения науки. Участие научных организаций бесплатное; услуги оплачивает предприятие-заказчик.</w:t>
      </w:r>
    </w:p>
    <w:p>
      <w:pPr>
        <w:spacing w:before="0" w:after="120" w:line="240" w:lineRule="auto"/>
        <w:jc w:val="both"/>
      </w:pPr>
      <w:r>
        <w:rPr>
          <w:rFonts w:ascii="PT Serif" w:hAnsi="PT Serif" w:cs="PT Serif"/>
          <w:b w:val="0"/>
          <w:i w:val="0"/>
          <w:color w:val="000000"/>
          <w:sz w:val="20"/>
        </w:rPr>
        <w:t>Основатели компании: Кирилл Уклонский (руководитель ИТ-проектов АНО ЦЭМАК, автор системы «ФинАналитик», свидетельство Роспатента № 2024618827, внедрена в трёх федеральных организациях; РАНХиГС) и Данила Кашев (руководитель ИТ-проектов ФГУП «ЗащитаИнфоТранс», импортозамещение информационной системы и включение её в реестр отечественного программного обеспечения; МГУ им. М. В. Ломоносова). Профиль команды: доведение проектов до внедрения в государственном и промышленном контуре.</w:t>
      </w:r>
    </w:p>
    <w:p>
      <w:pPr>
        <w:spacing w:before="0" w:after="40" w:line="240" w:lineRule="auto"/>
        <w:jc w:val="left"/>
      </w:pPr>
      <w:r>
        <w:rPr>
          <w:rFonts w:ascii="PT Serif" w:hAnsi="PT Serif" w:cs="PT Serif"/>
          <w:b/>
          <w:i w:val="0"/>
          <w:color w:val="000000"/>
          <w:sz w:val="21"/>
        </w:rPr>
        <w:t>3. Что предлагается</w:t>
      </w:r>
    </w:p>
    <w:p>
      <w:pPr>
        <w:spacing w:before="0" w:after="40" w:line="240" w:lineRule="auto"/>
        <w:jc w:val="both"/>
      </w:pPr>
      <w:r>
        <w:rPr>
          <w:rFonts w:ascii="PT Serif" w:hAnsi="PT Serif" w:cs="PT Serif"/>
          <w:b w:val="0"/>
          <w:i w:val="0"/>
          <w:color w:val="000000"/>
          <w:sz w:val="20"/>
        </w:rPr>
        <w:t>Компания принимает на себя выполнение работ, которые сегодня не закреплены ни за одним участником инновационной инфраструктуры. Это сопровождение пути от задачи конкретного предприятия до внедрённой у него технологии:</w:t>
      </w:r>
    </w:p>
    <w:p>
      <w:pPr>
        <w:spacing w:before="0" w:after="20" w:line="240" w:lineRule="auto"/>
        <w:ind w:left="283"/>
        <w:jc w:val="both"/>
      </w:pPr>
      <w:r>
        <w:rPr>
          <w:rFonts w:ascii="PT Serif" w:hAnsi="PT Serif" w:cs="PT Serif"/>
          <w:b/>
          <w:i w:val="0"/>
          <w:color w:val="000000"/>
          <w:sz w:val="20"/>
        </w:rPr>
        <w:t xml:space="preserve">1) </w:t>
      </w:r>
      <w:r>
        <w:rPr>
          <w:rFonts w:ascii="PT Serif" w:hAnsi="PT Serif" w:cs="PT Serif"/>
          <w:b w:val="0"/>
          <w:i w:val="0"/>
          <w:color w:val="000000"/>
          <w:sz w:val="20"/>
        </w:rPr>
        <w:t>перевод технологических задач предприятий в формализованные технические задания;</w:t>
      </w:r>
    </w:p>
    <w:p>
      <w:pPr>
        <w:spacing w:before="0" w:after="20" w:line="240" w:lineRule="auto"/>
        <w:ind w:left="283"/>
        <w:jc w:val="both"/>
      </w:pPr>
      <w:r>
        <w:rPr>
          <w:rFonts w:ascii="PT Serif" w:hAnsi="PT Serif" w:cs="PT Serif"/>
          <w:b/>
          <w:i w:val="0"/>
          <w:color w:val="000000"/>
          <w:sz w:val="20"/>
        </w:rPr>
        <w:t xml:space="preserve">2) </w:t>
      </w:r>
      <w:r>
        <w:rPr>
          <w:rFonts w:ascii="PT Serif" w:hAnsi="PT Serif" w:cs="PT Serif"/>
          <w:b w:val="0"/>
          <w:i w:val="0"/>
          <w:color w:val="000000"/>
          <w:sz w:val="20"/>
        </w:rPr>
        <w:t>подбор решений в российских и зарубежных научных организациях с проверкой применимости профильными экспертами;</w:t>
      </w:r>
    </w:p>
    <w:p>
      <w:pPr>
        <w:spacing w:before="0" w:after="20" w:line="240" w:lineRule="auto"/>
        <w:ind w:left="283"/>
        <w:jc w:val="both"/>
      </w:pPr>
      <w:r>
        <w:rPr>
          <w:rFonts w:ascii="PT Serif" w:hAnsi="PT Serif" w:cs="PT Serif"/>
          <w:b/>
          <w:i w:val="0"/>
          <w:color w:val="000000"/>
          <w:sz w:val="20"/>
        </w:rPr>
        <w:t xml:space="preserve">3) </w:t>
      </w:r>
      <w:r>
        <w:rPr>
          <w:rFonts w:ascii="PT Serif" w:hAnsi="PT Serif" w:cs="PT Serif"/>
          <w:b w:val="0"/>
          <w:i w:val="0"/>
          <w:color w:val="000000"/>
          <w:sz w:val="20"/>
        </w:rPr>
        <w:t>подготовка заявок на меры государственной поддержки (постановление Правительства Российской Федерации № 218, возмещающее до 70 процентов стоимости исследований; повышающий коэффициент по налогу на прибыль; гранты на доращивание технологий);</w:t>
      </w:r>
    </w:p>
    <w:p>
      <w:pPr>
        <w:spacing w:before="0" w:after="20" w:line="240" w:lineRule="auto"/>
        <w:ind w:left="283"/>
        <w:jc w:val="both"/>
      </w:pPr>
      <w:r>
        <w:rPr>
          <w:rFonts w:ascii="PT Serif" w:hAnsi="PT Serif" w:cs="PT Serif"/>
          <w:b/>
          <w:i w:val="0"/>
          <w:color w:val="000000"/>
          <w:sz w:val="20"/>
        </w:rPr>
        <w:t xml:space="preserve">4) </w:t>
      </w:r>
      <w:r>
        <w:rPr>
          <w:rFonts w:ascii="PT Serif" w:hAnsi="PT Serif" w:cs="PT Serif"/>
          <w:b w:val="0"/>
          <w:i w:val="0"/>
          <w:color w:val="000000"/>
          <w:sz w:val="20"/>
        </w:rPr>
        <w:t>сопровождение внедрения с привлечением инжиниринговых центров и институтов в качестве исполнителей.</w:t>
      </w:r>
    </w:p>
    <w:p>
      <w:pPr>
        <w:spacing w:before="40" w:after="120" w:line="240" w:lineRule="auto"/>
        <w:jc w:val="both"/>
      </w:pPr>
      <w:r>
        <w:rPr>
          <w:rFonts w:ascii="PT Serif" w:hAnsi="PT Serif" w:cs="PT Serif"/>
          <w:b w:val="0"/>
          <w:i w:val="0"/>
          <w:color w:val="000000"/>
          <w:sz w:val="20"/>
        </w:rPr>
        <w:t>Результатом становится измеримый рост частных вложений в исследования, загрузка научных организаций заказами промышленности, доведение мер поддержки до предприятий, которые самостоятельно заявок не готовят.</w:t>
      </w:r>
    </w:p>
    <w:p>
      <w:pPr>
        <w:spacing w:before="0" w:after="40" w:line="240" w:lineRule="auto"/>
        <w:jc w:val="left"/>
      </w:pPr>
      <w:r>
        <w:rPr>
          <w:rFonts w:ascii="PT Serif" w:hAnsi="PT Serif" w:cs="PT Serif"/>
          <w:b/>
          <w:i w:val="0"/>
          <w:color w:val="000000"/>
          <w:sz w:val="21"/>
        </w:rPr>
        <w:t>4. Обязательства компании на первый год</w:t>
      </w:r>
    </w:p>
    <w:p>
      <w:pPr>
        <w:spacing w:before="0" w:after="120" w:line="240" w:lineRule="auto"/>
        <w:jc w:val="both"/>
      </w:pPr>
      <w:r>
        <w:rPr>
          <w:rFonts w:ascii="PT Serif" w:hAnsi="PT Serif" w:cs="PT Serif"/>
          <w:b w:val="0"/>
          <w:i w:val="0"/>
          <w:color w:val="000000"/>
          <w:sz w:val="20"/>
        </w:rPr>
        <w:t>Собрать и оформить 10 технологических задач предприятий; выполнить 5 подборов решений с научной проверкой; подготовить и подать 2 заявки на софинансирование (постановление Правительства № 218, программа доращивания, региональные меры поддержки); довести 1 проект до внедрения; выпустить открытый отчёт «Карта разработок для промышленности [отрасли / региона]». Все работы выполняются за счёт компании; расходы бюджета не предполагаются.</w:t>
      </w:r>
    </w:p>
    <w:p>
      <w:pPr>
        <w:spacing w:before="0" w:after="40" w:line="240" w:lineRule="auto"/>
        <w:jc w:val="left"/>
      </w:pPr>
      <w:r>
        <w:rPr>
          <w:rFonts w:ascii="PT Serif" w:hAnsi="PT Serif" w:cs="PT Serif"/>
          <w:b/>
          <w:i w:val="0"/>
          <w:color w:val="000000"/>
          <w:sz w:val="21"/>
        </w:rPr>
        <w:t>5. Предлагаемые шаги</w:t>
      </w:r>
    </w:p>
    <w:p>
      <w:pPr>
        <w:spacing w:before="0" w:after="20" w:line="240" w:lineRule="auto"/>
        <w:ind w:left="283"/>
        <w:jc w:val="both"/>
      </w:pPr>
      <w:r>
        <w:rPr>
          <w:rFonts w:ascii="PT Serif" w:hAnsi="PT Serif" w:cs="PT Serif"/>
          <w:b/>
          <w:i w:val="0"/>
          <w:color w:val="000000"/>
          <w:sz w:val="20"/>
        </w:rPr>
        <w:t xml:space="preserve">1) </w:t>
      </w:r>
      <w:r>
        <w:rPr>
          <w:rFonts w:ascii="PT Serif" w:hAnsi="PT Serif" w:cs="PT Serif"/>
          <w:b w:val="0"/>
          <w:i w:val="0"/>
          <w:color w:val="000000"/>
          <w:sz w:val="20"/>
        </w:rPr>
        <w:t>рассмотреть возможность заключения соглашения (меморандума) о сотрудничестве;</w:t>
      </w:r>
    </w:p>
    <w:p>
      <w:pPr>
        <w:spacing w:before="0" w:after="20" w:line="240" w:lineRule="auto"/>
        <w:ind w:left="283"/>
        <w:jc w:val="both"/>
      </w:pPr>
      <w:r>
        <w:rPr>
          <w:rFonts w:ascii="PT Serif" w:hAnsi="PT Serif" w:cs="PT Serif"/>
          <w:b/>
          <w:i w:val="0"/>
          <w:color w:val="000000"/>
          <w:sz w:val="20"/>
        </w:rPr>
        <w:t xml:space="preserve">2) </w:t>
      </w:r>
      <w:r>
        <w:rPr>
          <w:rFonts w:ascii="PT Serif" w:hAnsi="PT Serif" w:cs="PT Serif"/>
          <w:b w:val="0"/>
          <w:i w:val="0"/>
          <w:color w:val="000000"/>
          <w:sz w:val="20"/>
        </w:rPr>
        <w:t>определить профильное подразделение для взаимодействия;</w:t>
      </w:r>
    </w:p>
    <w:p>
      <w:pPr>
        <w:spacing w:before="0" w:after="20" w:line="240" w:lineRule="auto"/>
        <w:ind w:left="283"/>
        <w:jc w:val="both"/>
      </w:pPr>
      <w:r>
        <w:rPr>
          <w:rFonts w:ascii="PT Serif" w:hAnsi="PT Serif" w:cs="PT Serif"/>
          <w:b/>
          <w:i w:val="0"/>
          <w:color w:val="000000"/>
          <w:sz w:val="20"/>
        </w:rPr>
        <w:t xml:space="preserve">3) </w:t>
      </w:r>
      <w:r>
        <w:rPr>
          <w:rFonts w:ascii="PT Serif" w:hAnsi="PT Serif" w:cs="PT Serif"/>
          <w:b w:val="0"/>
          <w:i w:val="0"/>
          <w:color w:val="000000"/>
          <w:sz w:val="20"/>
        </w:rPr>
        <w:t>содействовать представлению компании руководителям 5–7 промышленных предприятий и профильных научных организаций;</w:t>
      </w:r>
    </w:p>
    <w:p>
      <w:pPr>
        <w:spacing w:before="0" w:after="20" w:line="240" w:lineRule="auto"/>
        <w:ind w:left="283"/>
        <w:jc w:val="both"/>
      </w:pPr>
      <w:r>
        <w:rPr>
          <w:rFonts w:ascii="PT Serif" w:hAnsi="PT Serif" w:cs="PT Serif"/>
          <w:b/>
          <w:i w:val="0"/>
          <w:color w:val="000000"/>
          <w:sz w:val="20"/>
        </w:rPr>
        <w:t xml:space="preserve">4) </w:t>
      </w:r>
      <w:r>
        <w:rPr>
          <w:rFonts w:ascii="PT Serif" w:hAnsi="PT Serif" w:cs="PT Serif"/>
          <w:b w:val="0"/>
          <w:i w:val="0"/>
          <w:color w:val="000000"/>
          <w:sz w:val="20"/>
        </w:rPr>
        <w:t>рассмотреть участие компании в отраслевых площадках и рабочих группах.</w:t>
      </w:r>
    </w:p>
    <w:p>
      <w:pPr>
        <w:spacing w:before="0" w:after="20" w:line="240" w:lineRule="auto"/>
        <w:jc w:val="both"/>
      </w:pPr>
      <w:r>
        <w:rPr>
          <w:rFonts w:ascii="PT Serif" w:hAnsi="PT Serif" w:cs="PT Serif"/>
          <w:b/>
          <w:i w:val="0"/>
          <w:color w:val="000000"/>
          <w:sz w:val="20"/>
        </w:rPr>
        <w:t xml:space="preserve">Контактное лицо: </w:t>
      </w:r>
      <w:r>
        <w:rPr>
          <w:rFonts w:ascii="PT Serif" w:hAnsi="PT Serif" w:cs="PT Serif"/>
          <w:b w:val="0"/>
          <w:i w:val="0"/>
          <w:color w:val="000000"/>
          <w:sz w:val="20"/>
        </w:rPr>
        <w:t>Уклонский Кирилл, основатель компании «Ситалл». Электронная почта: uklonskiy.k@ya.ru</w:t>
      </w:r>
    </w:p>
    <w:p>
      <w:pPr>
        <w:spacing w:before="60" w:after="80" w:line="240" w:lineRule="auto"/>
        <w:jc w:val="left"/>
      </w:pPr>
      <w:r>
        <w:rPr>
          <w:rFonts w:ascii="PT Serif" w:hAnsi="PT Serif" w:cs="PT Serif"/>
          <w:b w:val="0"/>
          <w:i/>
          <w:color w:val="444444"/>
          <w:sz w:val="18"/>
        </w:rPr>
        <w:t>Август 2026</w:t>
      </w:r>
    </w:p>
    <w:sectPr w:rsidR="00FC693F" w:rsidRPr="0006063C" w:rsidSect="00034616">
      <w:pgSz w:w="11906" w:h="16838"/>
      <w:pgMar w:top="794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