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rFonts w:ascii="PT Serif" w:hAnsi="PT Serif"/>
          <w:b/>
          <w:color w:val="1E2761"/>
          <w:sz w:val="30"/>
        </w:rPr>
        <w:t>Записка посреднику: два трека одного дня</w:t>
      </w:r>
    </w:p>
    <w:p>
      <w:pPr>
        <w:spacing w:after="100" w:before="0"/>
        <w:jc w:val="both"/>
      </w:pPr>
      <w:r>
        <w:rPr>
          <w:rFonts w:ascii="PT Serif" w:hAnsi="PT Serif"/>
          <w:b/>
          <w:sz w:val="20"/>
        </w:rPr>
        <w:t>Внутренний документ. Адресатам не передавать.</w:t>
      </w:r>
      <w:r>
        <w:rPr>
          <w:rFonts w:ascii="PT Serif" w:hAnsi="PT Serif"/>
          <w:sz w:val="20"/>
        </w:rPr>
        <w:t xml:space="preserve"> Версия 2 от 26.08.2026.</w:t>
      </w:r>
    </w:p>
    <w:p>
      <w:pPr>
        <w:spacing w:after="100" w:before="0"/>
        <w:jc w:val="both"/>
      </w:pPr>
      <w:r>
        <w:rPr>
          <w:rFonts w:ascii="PT Serif" w:hAnsi="PT Serif"/>
          <w:sz w:val="20"/>
        </w:rPr>
        <w:t>Один переговорщик, две разные встречи в один день:</w:t>
      </w:r>
    </w:p>
    <w:p>
      <w:pPr>
        <w:spacing w:after="40" w:before="0"/>
        <w:ind w:left="340"/>
        <w:jc w:val="both"/>
      </w:pPr>
      <w:r>
        <w:rPr>
          <w:rFonts w:ascii="PT Serif" w:hAnsi="PT Serif"/>
          <w:sz w:val="20"/>
        </w:rPr>
        <w:t xml:space="preserve">1. </w:t>
      </w:r>
      <w:r>
        <w:rPr>
          <w:rFonts w:ascii="PT Serif" w:hAnsi="PT Serif"/>
          <w:b/>
          <w:sz w:val="20"/>
        </w:rPr>
        <w:t>АО «Югорский рыбоводный завод»</w:t>
      </w:r>
      <w:r>
        <w:rPr>
          <w:rFonts w:ascii="PT Serif" w:hAnsi="PT Serif"/>
          <w:sz w:val="20"/>
        </w:rPr>
        <w:t xml:space="preserve"> (Ханты-Мансийск) — бизнес, продаём оплачиваемый пилот.</w:t>
      </w:r>
    </w:p>
    <w:p>
      <w:pPr>
        <w:spacing w:after="40" w:before="0"/>
        <w:ind w:left="340"/>
        <w:jc w:val="both"/>
      </w:pPr>
      <w:r>
        <w:rPr>
          <w:rFonts w:ascii="PT Serif" w:hAnsi="PT Serif"/>
          <w:sz w:val="20"/>
        </w:rPr>
        <w:t xml:space="preserve">2. </w:t>
      </w:r>
      <w:r>
        <w:rPr>
          <w:rFonts w:ascii="PT Serif" w:hAnsi="PT Serif"/>
          <w:b/>
          <w:sz w:val="20"/>
        </w:rPr>
        <w:t>Минприроды Свердловской области</w:t>
      </w:r>
      <w:r>
        <w:rPr>
          <w:rFonts w:ascii="PT Serif" w:hAnsi="PT Serif"/>
          <w:sz w:val="20"/>
        </w:rPr>
        <w:t xml:space="preserve"> (Екатеринбург) — власть, просим соглашение и представление предприятиям; денег у бюджета не просим.</w:t>
      </w:r>
    </w:p>
    <w:p>
      <w:pPr>
        <w:spacing w:after="100" w:before="0"/>
        <w:jc w:val="both"/>
      </w:pPr>
      <w:r>
        <w:rPr>
          <w:rFonts w:ascii="PT Serif" w:hAnsi="PT Serif"/>
          <w:sz w:val="20"/>
        </w:rPr>
        <w:t>Тон и жанр встреч разные: с заводом — про его деньги и его производство; с министерством — про его показатели и отсутствие расходов бюджета. Не переносить лексику одного разговора в другой. Показываемые материалы — деки и справки в `regions/hmao/` и `regions/sverdlovsk/`; там боли сформулированы дипломатично. Здесь — прямые формулировки, вилки цен и логика торга. Универсальные правила — в playbook.md: «денег не просим», «говорим на языке его показателей», «не критикуем построенное».</w:t>
      </w:r>
    </w:p>
    <w:p>
      <w:pPr>
        <w:spacing w:after="100" w:before="0"/>
        <w:jc w:val="both"/>
      </w:pPr>
      <w:r>
        <w:rPr>
          <w:rFonts w:ascii="PT Serif" w:hAnsi="PT Serif"/>
          <w:sz w:val="20"/>
        </w:rPr>
        <w:t>Каждый факт — из разведок: завод, министерство, рынок Югры. Часть фактов — из поисковых сниппетов (агрегаторы блокируют доступ из-за рубежа): перед встречей сверить с российского IP. Задел по Депнедра Югры (не активен) — archive-depnedra.</w:t>
      </w:r>
    </w:p>
    <w:p>
      <w:pPr>
        <w:spacing w:after="60" w:before="160"/>
        <w:jc w:val="left"/>
      </w:pPr>
      <w:r>
        <w:rPr>
          <w:rFonts w:ascii="PT Serif" w:hAnsi="PT Serif"/>
          <w:b/>
          <w:color w:val="1E2761"/>
          <w:sz w:val="24"/>
        </w:rPr>
        <w:t>Трек 1. АО «Югорский рыбоводный завод»</w:t>
      </w:r>
    </w:p>
    <w:p>
      <w:pPr>
        <w:spacing w:after="100" w:before="0"/>
        <w:jc w:val="both"/>
      </w:pPr>
      <w:r>
        <w:rPr>
          <w:rFonts w:ascii="PT Serif" w:hAnsi="PT Serif"/>
          <w:b/>
          <w:sz w:val="20"/>
        </w:rPr>
        <w:t>Кто решает.</w:t>
      </w:r>
      <w:r>
        <w:rPr>
          <w:rFonts w:ascii="PT Serif" w:hAnsi="PT Serif"/>
          <w:sz w:val="20"/>
        </w:rPr>
        <w:t xml:space="preserve"> Гендиректор — Воронцов Николай Олегович (с 12.2020). Завод частный: в 2020 округ продал 100% акций за 798 млн ₽ ООО «Сервис-поставка Урал» (Екатеринбург); конечный бенефициар публично не раскрыт — уточнить, кто реально принимает решения о расходах. Активы ~2,9 млрд ₽, 102 сотрудника.</w:t>
      </w:r>
    </w:p>
    <w:p>
      <w:pPr>
        <w:spacing w:after="100" w:before="0"/>
        <w:jc w:val="both"/>
      </w:pPr>
      <w:r>
        <w:rPr>
          <w:rFonts w:ascii="PT Serif" w:hAnsi="PT Serif"/>
          <w:b/>
          <w:sz w:val="20"/>
        </w:rPr>
        <w:t>Что у них болит (прямо, не для показа).</w:t>
      </w:r>
    </w:p>
    <w:p>
      <w:pPr>
        <w:spacing w:after="40" w:before="0"/>
        <w:ind w:left="340"/>
        <w:jc w:val="both"/>
      </w:pPr>
      <w:r>
        <w:rPr>
          <w:rFonts w:ascii="PT Serif" w:hAnsi="PT Serif"/>
          <w:sz w:val="20"/>
        </w:rPr>
        <w:t xml:space="preserve">1. </w:t>
      </w:r>
      <w:r>
        <w:rPr>
          <w:rFonts w:ascii="PT Serif" w:hAnsi="PT Serif"/>
          <w:b/>
          <w:sz w:val="20"/>
        </w:rPr>
        <w:t>Корма.</w:t>
      </w:r>
      <w:r>
        <w:rPr>
          <w:rFonts w:ascii="PT Serif" w:hAnsi="PT Serif"/>
          <w:sz w:val="20"/>
        </w:rPr>
        <w:t xml:space="preserve"> Судились с поставщиком из-за сорванной поставки датского корма BioMar (вместо него привезли запрещённый Россельхознадзором турецкий); взыскали &gt;3,5 млн ₽. Импортозависимость по кормам для ценных видов — до 90%. Подтверждённая деньгами боль.</w:t>
      </w:r>
    </w:p>
    <w:p>
      <w:pPr>
        <w:spacing w:after="40" w:before="0"/>
        <w:ind w:left="340"/>
        <w:jc w:val="both"/>
      </w:pPr>
      <w:r>
        <w:rPr>
          <w:rFonts w:ascii="PT Serif" w:hAnsi="PT Serif"/>
          <w:sz w:val="20"/>
        </w:rPr>
        <w:t xml:space="preserve">2. </w:t>
      </w:r>
      <w:r>
        <w:rPr>
          <w:rFonts w:ascii="PT Serif" w:hAnsi="PT Serif"/>
          <w:b/>
          <w:sz w:val="20"/>
        </w:rPr>
        <w:t>Выручка просела.</w:t>
      </w:r>
      <w:r>
        <w:rPr>
          <w:rFonts w:ascii="PT Serif" w:hAnsi="PT Serif"/>
          <w:sz w:val="20"/>
        </w:rPr>
        <w:t xml:space="preserve"> Пик 2024 (818–944 млн ₽ по разным агрегаторам) → спад 2025 на 21–31%, прибыль упала примерно вдвое. Зависимость от компенсационного спроса якорного заказчика («Роснефть»).</w:t>
      </w:r>
    </w:p>
    <w:p>
      <w:pPr>
        <w:spacing w:after="40" w:before="0"/>
        <w:ind w:left="340"/>
        <w:jc w:val="both"/>
      </w:pPr>
      <w:r>
        <w:rPr>
          <w:rFonts w:ascii="PT Serif" w:hAnsi="PT Serif"/>
          <w:sz w:val="20"/>
        </w:rPr>
        <w:t xml:space="preserve">3. </w:t>
      </w:r>
      <w:r>
        <w:rPr>
          <w:rFonts w:ascii="PT Serif" w:hAnsi="PT Serif"/>
          <w:b/>
          <w:sz w:val="20"/>
        </w:rPr>
        <w:t>Амбиция роста без технологий под неё.</w:t>
      </w:r>
      <w:r>
        <w:rPr>
          <w:rFonts w:ascii="PT Serif" w:hAnsi="PT Serif"/>
          <w:sz w:val="20"/>
        </w:rPr>
        <w:t xml:space="preserve"> Публично заявили готовность нарастить выпуск с ~34–50 до 110 млн шт. молоди в год и просят федеральную поддержку; строят подразделение в Берёзово (Арктическая зона); пятый цех ждёт реконструкции.</w:t>
      </w:r>
    </w:p>
    <w:p>
      <w:pPr>
        <w:spacing w:after="40" w:before="0"/>
        <w:ind w:left="340"/>
        <w:jc w:val="both"/>
      </w:pPr>
      <w:r>
        <w:rPr>
          <w:rFonts w:ascii="PT Serif" w:hAnsi="PT Serif"/>
          <w:sz w:val="20"/>
        </w:rPr>
        <w:t xml:space="preserve">4. </w:t>
      </w:r>
      <w:r>
        <w:rPr>
          <w:rFonts w:ascii="PT Serif" w:hAnsi="PT Serif"/>
          <w:b/>
          <w:sz w:val="20"/>
        </w:rPr>
        <w:t>Риск катастрофы одной вспышки.</w:t>
      </w:r>
      <w:r>
        <w:rPr>
          <w:rFonts w:ascii="PT Serif" w:hAnsi="PT Serif"/>
          <w:sz w:val="20"/>
        </w:rPr>
        <w:t xml:space="preserve"> Маточное стадо 70+ т в УЗВ; в истории завода — гибель &gt;90 млн заказанных личинок (до приватизации).</w:t>
      </w:r>
    </w:p>
    <w:p>
      <w:pPr>
        <w:spacing w:after="40" w:before="0"/>
        <w:ind w:left="340"/>
        <w:jc w:val="both"/>
      </w:pPr>
      <w:r>
        <w:rPr>
          <w:rFonts w:ascii="PT Serif" w:hAnsi="PT Serif"/>
          <w:sz w:val="20"/>
        </w:rPr>
        <w:t xml:space="preserve">5. </w:t>
      </w:r>
      <w:r>
        <w:rPr>
          <w:rFonts w:ascii="PT Serif" w:hAnsi="PT Serif"/>
          <w:b/>
          <w:sz w:val="20"/>
        </w:rPr>
        <w:t>Кадры.</w:t>
      </w:r>
      <w:r>
        <w:rPr>
          <w:rFonts w:ascii="PT Serif" w:hAnsi="PT Serif"/>
          <w:sz w:val="20"/>
        </w:rPr>
        <w:t xml:space="preserve"> Открытые вакансии; вступили в программу производительности труда — автоматизация им в тему.</w:t>
      </w:r>
    </w:p>
    <w:p>
      <w:pPr>
        <w:spacing w:after="100" w:before="0"/>
        <w:jc w:val="both"/>
      </w:pPr>
      <w:r>
        <w:rPr>
          <w:rFonts w:ascii="PT Serif" w:hAnsi="PT Serif"/>
          <w:b/>
          <w:sz w:val="20"/>
        </w:rPr>
        <w:t>Чего не говорить.</w:t>
      </w:r>
      <w:r>
        <w:rPr>
          <w:rFonts w:ascii="PT Serif" w:hAnsi="PT Serif"/>
          <w:sz w:val="20"/>
        </w:rPr>
        <w:t xml:space="preserve"> Не упоминать судебную историю с кормами и просадку выручки как «мы знаем, что у вас плохо» — выводить их на это вопросами. Не обещать субсидии — только «заявки готовим мы». Не называть завод «бывшим государственным».</w:t>
      </w:r>
    </w:p>
    <w:p>
      <w:pPr>
        <w:spacing w:after="100" w:before="0"/>
        <w:jc w:val="both"/>
      </w:pPr>
      <w:r>
        <w:rPr>
          <w:rFonts w:ascii="PT Serif" w:hAnsi="PT Serif"/>
          <w:b/>
          <w:sz w:val="20"/>
        </w:rPr>
        <w:t>Мостики.</w:t>
      </w:r>
      <w:r>
        <w:rPr>
          <w:rFonts w:ascii="PT Serif" w:hAnsi="PT Serif"/>
          <w:sz w:val="20"/>
        </w:rPr>
        <w:t xml:space="preserve"> «Вы заявили 110 миллионов мальков в год — что сейчас главный ограничитель: икра, корма или энергетика?»; «Как закрыли кормовой вопрос после истории с импортом?»; «Берёзово — какая там схема водоподготовки?»</w:t>
      </w:r>
    </w:p>
    <w:p>
      <w:pPr>
        <w:spacing w:after="100" w:before="0"/>
        <w:jc w:val="both"/>
      </w:pPr>
      <w:r>
        <w:rPr>
          <w:rFonts w:ascii="PT Serif" w:hAnsi="PT Serif"/>
          <w:b/>
          <w:sz w:val="20"/>
        </w:rPr>
        <w:t>Оффер и торг.</w:t>
      </w:r>
      <w:r>
        <w:rPr>
          <w:rFonts w:ascii="PT Serif" w:hAnsi="PT Serif"/>
          <w:sz w:val="20"/>
        </w:rPr>
        <w:t xml:space="preserve"> Пилот «диагностика + подбор» под одну задачу. Вилки — только при прямом вопросе: диагностика 0,8–1,5 млн ₽ (3–4 недели), подбор с научной проверкой 1,5–4 млн ₽ (6–8 недель); сопровождение сделки — по договорённости плюс вознаграждение за результат. Первому клиенту в регионе — условия первопроходца (нижняя граница вилки) в обмен на право обезличенно сослаться на пилот в открытом отчёте. Аргумент цены: сравнивать не с нулём, а с ценой нерешённой задачи — одна вспышка в УЗВ или год простоя пятого цеха дороже пилота на порядок; с ПП-218 и двойным вычетом исследовательская часть дешевеет кратно.</w:t>
      </w:r>
    </w:p>
    <w:p>
      <w:pPr>
        <w:spacing w:after="100" w:before="0"/>
        <w:jc w:val="both"/>
      </w:pPr>
      <w:r>
        <w:rPr>
          <w:rFonts w:ascii="PT Serif" w:hAnsi="PT Serif"/>
          <w:b/>
          <w:sz w:val="20"/>
        </w:rPr>
        <w:t>Возражения сверх универсальной памятки.</w:t>
      </w:r>
    </w:p>
    <w:p>
      <w:pPr>
        <w:spacing w:after="40" w:before="0"/>
        <w:ind w:left="340"/>
        <w:jc w:val="both"/>
      </w:pPr>
      <w:r>
        <w:rPr>
          <w:rFonts w:ascii="PT Serif" w:hAnsi="PT Serif"/>
          <w:sz w:val="20"/>
        </w:rPr>
        <w:t>— «Мы сами знаем всех рыбоводных учёных» — Знаете отраслевых. Решения по кормам, генетике и машинному зрению живут в институтах вне отрасли: биотех, ИТ, материалы. Мы ищем поперёк отраслей и приносим сравнение.</w:t>
      </w:r>
    </w:p>
    <w:p>
      <w:pPr>
        <w:spacing w:after="40" w:before="0"/>
        <w:ind w:left="340"/>
        <w:jc w:val="both"/>
      </w:pPr>
      <w:r>
        <w:rPr>
          <w:rFonts w:ascii="PT Serif" w:hAnsi="PT Serif"/>
          <w:sz w:val="20"/>
        </w:rPr>
        <w:t>— «У нас нет денег, выручка упала» — Поэтому этапность с точками выхода и господдержка: до 70% стоимости исследований возмещает ПП-218, вычет идёт без конкурса. И начинаем с задачи, которая возвращает деньги.</w:t>
      </w:r>
    </w:p>
    <w:p>
      <w:pPr>
        <w:spacing w:after="40" w:before="0"/>
        <w:ind w:left="340"/>
        <w:jc w:val="both"/>
      </w:pPr>
      <w:r>
        <w:rPr>
          <w:rFonts w:ascii="PT Serif" w:hAnsi="PT Serif"/>
          <w:sz w:val="20"/>
        </w:rPr>
        <w:t>— «Наши задачи — коммерческая тайна» — NDA до начала диагностики, задачи не публикуются, в отчёт — только обезличенное и по согласованию.</w:t>
      </w:r>
    </w:p>
    <w:p>
      <w:pPr>
        <w:spacing w:after="100" w:before="0"/>
        <w:jc w:val="both"/>
      </w:pPr>
      <w:r>
        <w:rPr>
          <w:rFonts w:ascii="PT Serif" w:hAnsi="PT Serif"/>
          <w:b/>
          <w:sz w:val="20"/>
        </w:rPr>
        <w:t>Цели встречи.</w:t>
      </w:r>
      <w:r>
        <w:rPr>
          <w:rFonts w:ascii="PT Serif" w:hAnsi="PT Serif"/>
          <w:sz w:val="20"/>
        </w:rPr>
        <w:t xml:space="preserve"> Максимум: выбрана задача пилота и дата старта диагностики. Норма: согласие на техническую сессию с технологами (2 часа). Минимум: дата возврата с демонстрацией «Ситалл Скаут» на их примере.</w:t>
      </w:r>
    </w:p>
    <w:p>
      <w:pPr>
        <w:spacing w:after="60" w:before="160"/>
        <w:jc w:val="left"/>
      </w:pPr>
      <w:r>
        <w:rPr>
          <w:rFonts w:ascii="PT Serif" w:hAnsi="PT Serif"/>
          <w:b/>
          <w:color w:val="1E2761"/>
          <w:sz w:val="24"/>
        </w:rPr>
        <w:t>Трек 2. Минприроды Свердловской области</w:t>
      </w:r>
    </w:p>
    <w:p>
      <w:pPr>
        <w:spacing w:after="100" w:before="0"/>
        <w:jc w:val="both"/>
      </w:pPr>
      <w:r>
        <w:rPr>
          <w:rFonts w:ascii="PT Serif" w:hAnsi="PT Serif"/>
          <w:b/>
          <w:sz w:val="20"/>
        </w:rPr>
        <w:t>Кто решает.</w:t>
      </w:r>
      <w:r>
        <w:rPr>
          <w:rFonts w:ascii="PT Serif" w:hAnsi="PT Serif"/>
          <w:sz w:val="20"/>
        </w:rPr>
        <w:t xml:space="preserve"> Министр — </w:t>
      </w:r>
      <w:r>
        <w:rPr>
          <w:rFonts w:ascii="PT Serif" w:hAnsi="PT Serif"/>
          <w:b/>
          <w:sz w:val="20"/>
        </w:rPr>
        <w:t>Мамонтов Денис Михайлович</w:t>
      </w:r>
      <w:r>
        <w:rPr>
          <w:rFonts w:ascii="PT Serif" w:hAnsi="PT Serif"/>
          <w:sz w:val="20"/>
        </w:rPr>
        <w:t xml:space="preserve"> (с 11.2022, переназначен Паслером в 11.2025; экс-министр экономики области, до того — лесной департамент Тюменской области; родом из Ханты-Мансийска — мостик к нашему первому треку). Куратор — </w:t>
      </w:r>
      <w:r>
        <w:rPr>
          <w:rFonts w:ascii="PT Serif" w:hAnsi="PT Serif"/>
          <w:b/>
          <w:sz w:val="20"/>
        </w:rPr>
        <w:t>первый заместитель губернатора Алексей Шмыков, одновременно министр промышленности и науки</w:t>
      </w:r>
      <w:r>
        <w:rPr>
          <w:rFonts w:ascii="PT Serif" w:hAnsi="PT Serif"/>
          <w:sz w:val="20"/>
        </w:rPr>
        <w:t>: предложение «наука для экологии промышленности» попадает сразу в обе его роли. Внимание: не называть министром Кузнецова (он министр до 2022, теперь МУГИСО).</w:t>
      </w:r>
    </w:p>
    <w:p>
      <w:pPr>
        <w:spacing w:after="100" w:before="0"/>
        <w:jc w:val="both"/>
      </w:pPr>
      <w:r>
        <w:rPr>
          <w:rFonts w:ascii="PT Serif" w:hAnsi="PT Serif"/>
          <w:b/>
          <w:sz w:val="20"/>
        </w:rPr>
        <w:t>Что у них болит (прямо, не для показа).</w:t>
      </w:r>
    </w:p>
    <w:p>
      <w:pPr>
        <w:spacing w:after="40" w:before="0"/>
        <w:ind w:left="340"/>
        <w:jc w:val="both"/>
      </w:pPr>
      <w:r>
        <w:rPr>
          <w:rFonts w:ascii="PT Serif" w:hAnsi="PT Serif"/>
          <w:sz w:val="20"/>
        </w:rPr>
        <w:t xml:space="preserve">1. </w:t>
      </w:r>
      <w:r>
        <w:rPr>
          <w:rFonts w:ascii="PT Serif" w:hAnsi="PT Serif"/>
          <w:b/>
          <w:sz w:val="20"/>
        </w:rPr>
        <w:t>«Красная зона» мусорной реформы — боль № 1.</w:t>
      </w:r>
      <w:r>
        <w:rPr>
          <w:rFonts w:ascii="PT Serif" w:hAnsi="PT Serif"/>
          <w:sz w:val="20"/>
        </w:rPr>
        <w:t xml:space="preserve"> РЭО включил область в отстающие; вице-премьер Патрушев требует ускорить: за год не введено ни одного объекта ТКО при программе из 13 объектов на 25+ млрд ₽. В 08.2025 Паслер забрал реформу у минЖКХ и повесил на минприроды — теперь это лично их провал или успех.</w:t>
      </w:r>
    </w:p>
    <w:p>
      <w:pPr>
        <w:spacing w:after="40" w:before="0"/>
        <w:ind w:left="340"/>
        <w:jc w:val="both"/>
      </w:pPr>
      <w:r>
        <w:rPr>
          <w:rFonts w:ascii="PT Serif" w:hAnsi="PT Serif"/>
          <w:sz w:val="20"/>
        </w:rPr>
        <w:t xml:space="preserve">2. </w:t>
      </w:r>
      <w:r>
        <w:rPr>
          <w:rFonts w:ascii="PT Serif" w:hAnsi="PT Serif"/>
          <w:b/>
          <w:sz w:val="20"/>
        </w:rPr>
        <w:t>Сысертский урок.</w:t>
      </w:r>
      <w:r>
        <w:rPr>
          <w:rFonts w:ascii="PT Serif" w:hAnsi="PT Serif"/>
          <w:sz w:val="20"/>
        </w:rPr>
        <w:t xml:space="preserve"> Полигон «Екатеринбург-Юг» отменён после протестов и суда (9 массовых акций, 63 пикета); новые объекты без убедительной независимой экспертизы блокируются. Взамен — экотехнопарк «Верхнепышминский», старт стройки 2026.</w:t>
      </w:r>
    </w:p>
    <w:p>
      <w:pPr>
        <w:spacing w:after="40" w:before="0"/>
        <w:ind w:left="340"/>
        <w:jc w:val="both"/>
      </w:pPr>
      <w:r>
        <w:rPr>
          <w:rFonts w:ascii="PT Serif" w:hAnsi="PT Serif"/>
          <w:sz w:val="20"/>
        </w:rPr>
        <w:t xml:space="preserve">3. </w:t>
      </w:r>
      <w:r>
        <w:rPr>
          <w:rFonts w:ascii="PT Serif" w:hAnsi="PT Serif"/>
          <w:b/>
          <w:sz w:val="20"/>
        </w:rPr>
        <w:t>Регоператор.</w:t>
      </w:r>
      <w:r>
        <w:rPr>
          <w:rFonts w:ascii="PT Serif" w:hAnsi="PT Serif"/>
          <w:sz w:val="20"/>
        </w:rPr>
        <w:t xml:space="preserve"> «Спецавтобаза»: долги, снятие с зоны, комиссия по лишению статуса — тема токсичная, не трогать без нужды.</w:t>
      </w:r>
    </w:p>
    <w:p>
      <w:pPr>
        <w:spacing w:after="40" w:before="0"/>
        <w:ind w:left="340"/>
        <w:jc w:val="both"/>
      </w:pPr>
      <w:r>
        <w:rPr>
          <w:rFonts w:ascii="PT Serif" w:hAnsi="PT Serif"/>
          <w:sz w:val="20"/>
        </w:rPr>
        <w:t xml:space="preserve">4. </w:t>
      </w:r>
      <w:r>
        <w:rPr>
          <w:rFonts w:ascii="PT Serif" w:hAnsi="PT Serif"/>
          <w:b/>
          <w:sz w:val="20"/>
        </w:rPr>
        <w:t>Вода.</w:t>
      </w:r>
      <w:r>
        <w:rPr>
          <w:rFonts w:ascii="PT Serif" w:hAnsi="PT Serif"/>
          <w:sz w:val="20"/>
        </w:rPr>
        <w:t xml:space="preserve"> Шарташ — очистка с 2027, в очереди Верх-Исетский пруд, Таватуй, Балтым; после ирбитского паводка (исторический максимум на Нице, 07.2026) — программа расчистки русел с Росводресурсами.</w:t>
      </w:r>
    </w:p>
    <w:p>
      <w:pPr>
        <w:spacing w:after="40" w:before="0"/>
        <w:ind w:left="340"/>
        <w:jc w:val="both"/>
      </w:pPr>
      <w:r>
        <w:rPr>
          <w:rFonts w:ascii="PT Serif" w:hAnsi="PT Serif"/>
          <w:sz w:val="20"/>
        </w:rPr>
        <w:t xml:space="preserve">5. </w:t>
      </w:r>
      <w:r>
        <w:rPr>
          <w:rFonts w:ascii="PT Serif" w:hAnsi="PT Serif"/>
          <w:b/>
          <w:sz w:val="20"/>
        </w:rPr>
        <w:t>Левиха.</w:t>
      </w:r>
      <w:r>
        <w:rPr>
          <w:rFonts w:ascii="PT Serif" w:hAnsi="PT Serif"/>
          <w:sz w:val="20"/>
        </w:rPr>
        <w:t xml:space="preserve"> Кислые шахтные воды: ~25–27 млн ₽/год на паллиатив — треть потребности; УрО РАН публично предлагает решения (05.2025) — спрос на науку уже озвучен.</w:t>
      </w:r>
    </w:p>
    <w:p>
      <w:pPr>
        <w:spacing w:after="40" w:before="0"/>
        <w:ind w:left="340"/>
        <w:jc w:val="both"/>
      </w:pPr>
      <w:r>
        <w:rPr>
          <w:rFonts w:ascii="PT Serif" w:hAnsi="PT Serif"/>
          <w:sz w:val="20"/>
        </w:rPr>
        <w:t xml:space="preserve">6. </w:t>
      </w:r>
      <w:r>
        <w:rPr>
          <w:rFonts w:ascii="PT Serif" w:hAnsi="PT Serif"/>
          <w:b/>
          <w:sz w:val="20"/>
        </w:rPr>
        <w:t>Леса.</w:t>
      </w:r>
      <w:r>
        <w:rPr>
          <w:rFonts w:ascii="PT Serif" w:hAnsi="PT Serif"/>
          <w:sz w:val="20"/>
        </w:rPr>
        <w:t xml:space="preserve"> Пожар до 800 га в мае 2026, поручения губернатора; ставка министерства — раннее обнаружение пожаров, рубок и свалок.</w:t>
      </w:r>
    </w:p>
    <w:p>
      <w:pPr>
        <w:spacing w:after="100" w:before="0"/>
        <w:jc w:val="both"/>
      </w:pPr>
      <w:r>
        <w:rPr>
          <w:rFonts w:ascii="PT Serif" w:hAnsi="PT Serif"/>
          <w:b/>
          <w:sz w:val="20"/>
        </w:rPr>
        <w:t>Чего не говорить.</w:t>
      </w:r>
      <w:r>
        <w:rPr>
          <w:rFonts w:ascii="PT Serif" w:hAnsi="PT Serif"/>
          <w:sz w:val="20"/>
        </w:rPr>
        <w:t xml:space="preserve"> Не произносить «красная зона» и «провал реформы» — это оценка их работы; формулировать как «объекты ждут технологий». Не предлагать участие в госзакупках. Не трогать «Спецавтобазу». Не обещать конкретные объекты/гектары — только процесс и счётные обязательства. Министерство само почти не закупает НИР (~6 млн ₽/год) — не продавать им исследования, предлагать внебюджетный механизм.</w:t>
      </w:r>
    </w:p>
    <w:p>
      <w:pPr>
        <w:spacing w:after="100" w:before="0"/>
        <w:jc w:val="both"/>
      </w:pPr>
      <w:r>
        <w:rPr>
          <w:rFonts w:ascii="PT Serif" w:hAnsi="PT Serif"/>
          <w:b/>
          <w:sz w:val="20"/>
        </w:rPr>
        <w:t>Мостики.</w:t>
      </w:r>
      <w:r>
        <w:rPr>
          <w:rFonts w:ascii="PT Serif" w:hAnsi="PT Serif"/>
          <w:sz w:val="20"/>
        </w:rPr>
        <w:t xml:space="preserve"> «По объектам обращения с отходами — что сейчас главный ограничитель: технологии, инвесторы или площадки?»; «По Шарташу к 2027 — какие методы работы с донными отложениями рассматриваете?»; «УрО РАН предлагал решения по Левихе — что мешает довести их до площадки?»</w:t>
      </w:r>
    </w:p>
    <w:p>
      <w:pPr>
        <w:spacing w:after="100" w:before="0"/>
        <w:jc w:val="both"/>
      </w:pPr>
      <w:r>
        <w:rPr>
          <w:rFonts w:ascii="PT Serif" w:hAnsi="PT Serif"/>
          <w:b/>
          <w:sz w:val="20"/>
        </w:rPr>
        <w:t>Оффер.</w:t>
      </w:r>
      <w:r>
        <w:rPr>
          <w:rFonts w:ascii="PT Serif" w:hAnsi="PT Serif"/>
          <w:sz w:val="20"/>
        </w:rPr>
        <w:t xml:space="preserve"> Соглашение (меморандум) о сотрудничестве + представление 5–7 предприятиям-природопользователям + участие в площадках региона. Счётные обязательства первого года за наш счёт: 10 задач, 5 подборов, 2 заявки, 1 внедрение, открытый отчёт. Ключевой аргумент: деньги на технологии уже есть вне бюджета — концессии ТКО (25 млрд ₽), обязательства предприятий (15 млрд ₽ «Чистого воздуха» в Тагиле — за счёт бизнеса); министерству нужен тот, кто доведёт до этих денег проверенные решения. Бонус: независимая научная валидация технологий новых объектов — аргумент на публичных слушаниях (урок Сысерти). Формат подписания — пакет соглашений Иннопрома.</w:t>
      </w:r>
    </w:p>
    <w:p>
      <w:pPr>
        <w:spacing w:after="100" w:before="0"/>
        <w:jc w:val="both"/>
      </w:pPr>
      <w:r>
        <w:rPr>
          <w:rFonts w:ascii="PT Serif" w:hAnsi="PT Serif"/>
          <w:b/>
          <w:sz w:val="20"/>
        </w:rPr>
        <w:t>Возражения сверх универсальной памятки.</w:t>
      </w:r>
    </w:p>
    <w:p>
      <w:pPr>
        <w:spacing w:after="40" w:before="0"/>
        <w:ind w:left="340"/>
        <w:jc w:val="both"/>
      </w:pPr>
      <w:r>
        <w:rPr>
          <w:rFonts w:ascii="PT Serif" w:hAnsi="PT Serif"/>
          <w:sz w:val="20"/>
        </w:rPr>
        <w:t>— «Наука у нас есть: УрФУ, УГГУ, УрО РАН» — Есть, и она уже предлагает решения — по Левихе публично. Не хватает звена, которое переведёт задачу в ТЗ, сравнит варианты по всей стране и ответит за внедрение деньгами. Мы приводим вашей науке оплаченный заказ.</w:t>
      </w:r>
    </w:p>
    <w:p>
      <w:pPr>
        <w:spacing w:after="40" w:before="0"/>
        <w:ind w:left="340"/>
        <w:jc w:val="both"/>
      </w:pPr>
      <w:r>
        <w:rPr>
          <w:rFonts w:ascii="PT Serif" w:hAnsi="PT Serif"/>
          <w:sz w:val="20"/>
        </w:rPr>
        <w:t>— «Бюджет на это не заложен» — И не нужен. Платят предприятия и инвесторы объектов; наши обязательства первого года — за наш счёт.</w:t>
      </w:r>
    </w:p>
    <w:p>
      <w:pPr>
        <w:spacing w:after="40" w:before="0"/>
        <w:ind w:left="340"/>
        <w:jc w:val="both"/>
      </w:pPr>
      <w:r>
        <w:rPr>
          <w:rFonts w:ascii="PT Serif" w:hAnsi="PT Serif"/>
          <w:sz w:val="20"/>
        </w:rPr>
        <w:t>— «Технологии выбирают концессионеры, не мы» — Верно, и им нужна независимая проверка: после Сысерти каждый новый объект должен выдержать публичные слушания. Валидация решений — наша работа, министерству — аргументы.</w:t>
      </w:r>
    </w:p>
    <w:p>
      <w:pPr>
        <w:spacing w:after="40" w:before="0"/>
        <w:ind w:left="340"/>
        <w:jc w:val="both"/>
      </w:pPr>
      <w:r>
        <w:rPr>
          <w:rFonts w:ascii="PT Serif" w:hAnsi="PT Serif"/>
          <w:sz w:val="20"/>
        </w:rPr>
        <w:t>— «Чем вы отличаетесь от очередных консультантов?» — Консультант отдаёт отчёт и уходит. Мы принципал: часть вознаграждения — только при внедрении, обязательства счётные и публичные.</w:t>
      </w:r>
    </w:p>
    <w:p>
      <w:pPr>
        <w:spacing w:after="100" w:before="0"/>
        <w:jc w:val="both"/>
      </w:pPr>
      <w:r>
        <w:rPr>
          <w:rFonts w:ascii="PT Serif" w:hAnsi="PT Serif"/>
          <w:b/>
          <w:sz w:val="20"/>
        </w:rPr>
        <w:t>Цели встречи.</w:t>
      </w:r>
      <w:r>
        <w:rPr>
          <w:rFonts w:ascii="PT Serif" w:hAnsi="PT Serif"/>
          <w:sz w:val="20"/>
        </w:rPr>
        <w:t xml:space="preserve"> Максимум: поручение проработать проект соглашения + представление 2–3 предприятиям/концессионерам. Норма: определено профильное подразделение и назначена рабочая встреча. Минимум: согласие на возврат с результатами пилота (например, по заводу в Югре) и дата.</w:t>
      </w:r>
    </w:p>
    <w:p>
      <w:pPr>
        <w:spacing w:after="60" w:before="160"/>
        <w:jc w:val="left"/>
      </w:pPr>
      <w:r>
        <w:rPr>
          <w:rFonts w:ascii="PT Serif" w:hAnsi="PT Serif"/>
          <w:b/>
          <w:color w:val="1E2761"/>
          <w:sz w:val="24"/>
        </w:rPr>
        <w:t>Связка треков дня</w:t>
      </w:r>
    </w:p>
    <w:p>
      <w:pPr>
        <w:spacing w:after="100" w:before="0"/>
        <w:jc w:val="both"/>
      </w:pPr>
      <w:r>
        <w:rPr>
          <w:rFonts w:ascii="PT Serif" w:hAnsi="PT Serif"/>
          <w:sz w:val="20"/>
        </w:rPr>
        <w:t>Завод — быстрый коммерческий пилот и живой кейс; министерство — канал к природопользователям и статус. На встрече с министерством кейс завода звучит как «мы уже работаем с предприятием в Югре» (без имени до согласования с заводом). Общая рамка обеих встреч: деньги на технологии уже есть у бизнеса — компенсационные обязательства нефтяников в Югре, концессии и экологические обязательства предприятий на Урале; мы доводим эти деньги до проверенной науки. Министр Мамонтов родом из Ханты-Мансийска — уместная человеческая связка, если разговор позволит.</w:t>
      </w:r>
    </w:p>
    <w:p>
      <w:pPr>
        <w:spacing w:after="60" w:before="160"/>
        <w:jc w:val="left"/>
      </w:pPr>
      <w:r>
        <w:rPr>
          <w:rFonts w:ascii="PT Serif" w:hAnsi="PT Serif"/>
          <w:b/>
          <w:color w:val="1E2761"/>
          <w:sz w:val="24"/>
        </w:rPr>
        <w:t>После каждой встречи</w:t>
      </w:r>
    </w:p>
    <w:p>
      <w:pPr>
        <w:spacing w:after="100" w:before="0"/>
        <w:jc w:val="both"/>
      </w:pPr>
      <w:r>
        <w:rPr>
          <w:rFonts w:ascii="PT Serif" w:hAnsi="PT Serif"/>
          <w:sz w:val="20"/>
        </w:rPr>
        <w:t>Заполнить запись в журнале региона (hmao/log.md, sverdlovsk/log.md) в течение часа; новые возражения — дописать сюда и в универсальную памятку.</w:t>
      </w:r>
    </w:p>
    <w:sectPr w:rsidR="00FC693F" w:rsidRPr="0006063C" w:rsidSect="00034616">
      <w:pgSz w:w="11906" w:h="16838"/>
      <w:pgMar w:top="794" w:right="850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PT Serif" w:hAnsi="PT Seri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