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03819" w14:textId="77777777" w:rsidR="00BA6E2B" w:rsidRPr="00BA6E2B" w:rsidRDefault="00BA6E2B" w:rsidP="00BA6E2B">
      <w:pPr>
        <w:jc w:val="center"/>
        <w:rPr>
          <w:sz w:val="32"/>
        </w:rPr>
      </w:pPr>
      <w:r w:rsidRPr="00BA6E2B">
        <w:rPr>
          <w:sz w:val="32"/>
        </w:rPr>
        <w:t xml:space="preserve">MASC </w:t>
      </w:r>
      <w:proofErr w:type="spellStart"/>
      <w:r w:rsidRPr="00BA6E2B">
        <w:rPr>
          <w:sz w:val="32"/>
        </w:rPr>
        <w:t>FireDAC</w:t>
      </w:r>
      <w:proofErr w:type="spellEnd"/>
      <w:r w:rsidRPr="00BA6E2B">
        <w:rPr>
          <w:sz w:val="32"/>
        </w:rPr>
        <w:t xml:space="preserve"> Client / SDB Documentation</w:t>
      </w:r>
    </w:p>
    <w:p w14:paraId="4CE4F68A" w14:textId="77777777" w:rsidR="00BA6E2B" w:rsidRDefault="00BA6E2B" w:rsidP="00BA6E2B">
      <w:pPr>
        <w:jc w:val="center"/>
        <w:rPr>
          <w:sz w:val="28"/>
        </w:rPr>
      </w:pPr>
      <w:r>
        <w:rPr>
          <w:sz w:val="28"/>
        </w:rPr>
        <w:t>Flake statistics cheat sheet</w:t>
      </w:r>
    </w:p>
    <w:p w14:paraId="06D2F5B6" w14:textId="77777777" w:rsidR="00BA6E2B" w:rsidRPr="00BA6E2B" w:rsidRDefault="00BA6E2B" w:rsidP="00BA6E2B">
      <w:pPr>
        <w:jc w:val="center"/>
        <w:rPr>
          <w:sz w:val="28"/>
        </w:rPr>
      </w:pPr>
    </w:p>
    <w:tbl>
      <w:tblPr>
        <w:tblStyle w:val="TableGrid"/>
        <w:tblW w:w="9989" w:type="dxa"/>
        <w:tblLook w:val="04A0" w:firstRow="1" w:lastRow="0" w:firstColumn="1" w:lastColumn="0" w:noHBand="0" w:noVBand="1"/>
      </w:tblPr>
      <w:tblGrid>
        <w:gridCol w:w="1402"/>
        <w:gridCol w:w="2776"/>
        <w:gridCol w:w="837"/>
        <w:gridCol w:w="941"/>
        <w:gridCol w:w="1419"/>
        <w:gridCol w:w="2614"/>
      </w:tblGrid>
      <w:tr w:rsidR="00BA6E2B" w14:paraId="6E90BBC1" w14:textId="77777777" w:rsidTr="00A16A0B">
        <w:trPr>
          <w:trHeight w:val="344"/>
        </w:trPr>
        <w:tc>
          <w:tcPr>
            <w:tcW w:w="1402" w:type="dxa"/>
          </w:tcPr>
          <w:p w14:paraId="6628F7F8" w14:textId="77777777" w:rsidR="00BA6E2B" w:rsidRPr="00BA6E2B" w:rsidRDefault="00BA6E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76" w:type="dxa"/>
          </w:tcPr>
          <w:p w14:paraId="4CBDCF6B" w14:textId="77777777" w:rsidR="00BA6E2B" w:rsidRPr="00BA6E2B" w:rsidRDefault="00BA6E2B">
            <w:pPr>
              <w:rPr>
                <w:b/>
              </w:rPr>
            </w:pPr>
            <w:r>
              <w:rPr>
                <w:b/>
              </w:rPr>
              <w:t>Summary and/or [Units]</w:t>
            </w:r>
          </w:p>
        </w:tc>
        <w:tc>
          <w:tcPr>
            <w:tcW w:w="837" w:type="dxa"/>
          </w:tcPr>
          <w:p w14:paraId="28CB0C0C" w14:textId="77777777" w:rsidR="00BA6E2B" w:rsidRPr="00BA6E2B" w:rsidRDefault="00BA6E2B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941" w:type="dxa"/>
          </w:tcPr>
          <w:p w14:paraId="1099E97A" w14:textId="77777777" w:rsidR="00BA6E2B" w:rsidRPr="00BA6E2B" w:rsidRDefault="00BA6E2B">
            <w:pPr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419" w:type="dxa"/>
          </w:tcPr>
          <w:p w14:paraId="7B9E9AE0" w14:textId="77777777" w:rsidR="00BA6E2B" w:rsidRPr="00BA6E2B" w:rsidRDefault="00BA6E2B">
            <w:pPr>
              <w:rPr>
                <w:b/>
              </w:rPr>
            </w:pPr>
            <w:r>
              <w:rPr>
                <w:b/>
              </w:rPr>
              <w:t>Thresholds</w:t>
            </w:r>
          </w:p>
        </w:tc>
        <w:tc>
          <w:tcPr>
            <w:tcW w:w="2614" w:type="dxa"/>
          </w:tcPr>
          <w:p w14:paraId="0EA86E00" w14:textId="77777777" w:rsidR="00BA6E2B" w:rsidRPr="00BA6E2B" w:rsidRDefault="00BA6E2B">
            <w:pPr>
              <w:rPr>
                <w:b/>
              </w:rPr>
            </w:pPr>
            <w:r>
              <w:rPr>
                <w:b/>
              </w:rPr>
              <w:t>Meanings</w:t>
            </w:r>
          </w:p>
        </w:tc>
      </w:tr>
      <w:tr w:rsidR="00BA6E2B" w14:paraId="72D81176" w14:textId="77777777" w:rsidTr="002B42DE">
        <w:trPr>
          <w:trHeight w:val="324"/>
        </w:trPr>
        <w:tc>
          <w:tcPr>
            <w:tcW w:w="1402" w:type="dxa"/>
          </w:tcPr>
          <w:p w14:paraId="417FDF70" w14:textId="77777777" w:rsidR="00BA6E2B" w:rsidRDefault="00BA6E2B">
            <w:r>
              <w:t>Fall speed</w:t>
            </w:r>
          </w:p>
        </w:tc>
        <w:tc>
          <w:tcPr>
            <w:tcW w:w="2776" w:type="dxa"/>
          </w:tcPr>
          <w:p w14:paraId="61AB9D22" w14:textId="77777777" w:rsidR="00BA6E2B" w:rsidRPr="00BA6E2B" w:rsidRDefault="00BA6E2B">
            <w:pPr>
              <w:rPr>
                <w:b/>
              </w:rPr>
            </w:pPr>
            <w:r w:rsidRPr="00BA6E2B">
              <w:rPr>
                <w:b/>
              </w:rPr>
              <w:t>[m/s]</w:t>
            </w:r>
          </w:p>
        </w:tc>
        <w:tc>
          <w:tcPr>
            <w:tcW w:w="837" w:type="dxa"/>
          </w:tcPr>
          <w:p w14:paraId="0FB80C34" w14:textId="77777777" w:rsidR="00BA6E2B" w:rsidRDefault="00BA6E2B">
            <w:r>
              <w:t>-99.0</w:t>
            </w:r>
          </w:p>
        </w:tc>
        <w:tc>
          <w:tcPr>
            <w:tcW w:w="941" w:type="dxa"/>
          </w:tcPr>
          <w:p w14:paraId="22B8DB1E" w14:textId="77777777" w:rsidR="00BA6E2B" w:rsidRDefault="00BA6E2B">
            <w:r>
              <w:t>99.0</w:t>
            </w:r>
          </w:p>
        </w:tc>
        <w:tc>
          <w:tcPr>
            <w:tcW w:w="1419" w:type="dxa"/>
            <w:shd w:val="clear" w:color="auto" w:fill="000000" w:themeFill="text1"/>
          </w:tcPr>
          <w:p w14:paraId="28BAD887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23118996" w14:textId="77777777" w:rsidR="00BA6E2B" w:rsidRDefault="00BA6E2B"/>
        </w:tc>
      </w:tr>
      <w:tr w:rsidR="00BA6E2B" w14:paraId="2A3A3C41" w14:textId="77777777" w:rsidTr="002B42DE">
        <w:trPr>
          <w:trHeight w:val="344"/>
        </w:trPr>
        <w:tc>
          <w:tcPr>
            <w:tcW w:w="1402" w:type="dxa"/>
          </w:tcPr>
          <w:p w14:paraId="6622D121" w14:textId="77777777" w:rsidR="00BA6E2B" w:rsidRDefault="00BA6E2B">
            <w:r>
              <w:t>Max Diameter</w:t>
            </w:r>
          </w:p>
        </w:tc>
        <w:tc>
          <w:tcPr>
            <w:tcW w:w="2776" w:type="dxa"/>
          </w:tcPr>
          <w:p w14:paraId="60BDC32A" w14:textId="77777777" w:rsidR="00BA6E2B" w:rsidRDefault="00BA6E2B">
            <w:r>
              <w:t xml:space="preserve">The length of the axis that is the maximum diameter of the flake cross-section </w:t>
            </w:r>
            <w:r w:rsidRPr="00BA6E2B">
              <w:rPr>
                <w:b/>
              </w:rPr>
              <w:t>[mm]</w:t>
            </w:r>
          </w:p>
        </w:tc>
        <w:tc>
          <w:tcPr>
            <w:tcW w:w="837" w:type="dxa"/>
          </w:tcPr>
          <w:p w14:paraId="6AF51CD7" w14:textId="77777777" w:rsidR="00BA6E2B" w:rsidRDefault="00BA6E2B">
            <w:r>
              <w:t>0</w:t>
            </w:r>
          </w:p>
        </w:tc>
        <w:tc>
          <w:tcPr>
            <w:tcW w:w="941" w:type="dxa"/>
          </w:tcPr>
          <w:p w14:paraId="5860443D" w14:textId="77777777" w:rsidR="00BA6E2B" w:rsidRDefault="00BA6E2B">
            <w:r>
              <w:t>9999.0</w:t>
            </w:r>
          </w:p>
        </w:tc>
        <w:tc>
          <w:tcPr>
            <w:tcW w:w="1419" w:type="dxa"/>
            <w:shd w:val="clear" w:color="auto" w:fill="000000" w:themeFill="text1"/>
          </w:tcPr>
          <w:p w14:paraId="0026B3CD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67CC7891" w14:textId="77777777" w:rsidR="00BA6E2B" w:rsidRDefault="00BA6E2B"/>
        </w:tc>
      </w:tr>
      <w:tr w:rsidR="00BA6E2B" w14:paraId="0CDE87BF" w14:textId="77777777" w:rsidTr="002B42DE">
        <w:trPr>
          <w:trHeight w:val="324"/>
        </w:trPr>
        <w:tc>
          <w:tcPr>
            <w:tcW w:w="1402" w:type="dxa"/>
          </w:tcPr>
          <w:p w14:paraId="172648DB" w14:textId="77777777" w:rsidR="00BA6E2B" w:rsidRDefault="00BA6E2B">
            <w:r>
              <w:t>Equivalent radius</w:t>
            </w:r>
            <w:r w:rsidR="00A16A0B"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e>
              </m:d>
            </m:oMath>
          </w:p>
        </w:tc>
        <w:tc>
          <w:tcPr>
            <w:tcW w:w="2776" w:type="dxa"/>
          </w:tcPr>
          <w:p w14:paraId="32C5B8B9" w14:textId="77777777" w:rsidR="00BA6E2B" w:rsidRPr="00BA6E2B" w:rsidRDefault="00BA6E2B">
            <w:pPr>
              <w:rPr>
                <w:b/>
              </w:rPr>
            </w:pPr>
            <w:r>
              <w:t xml:space="preserve">The area-equivalent radius of the flake </w:t>
            </w:r>
            <w:r>
              <w:rPr>
                <w:b/>
              </w:rPr>
              <w:t>[mm]</w:t>
            </w:r>
          </w:p>
        </w:tc>
        <w:tc>
          <w:tcPr>
            <w:tcW w:w="837" w:type="dxa"/>
          </w:tcPr>
          <w:p w14:paraId="664C6FC4" w14:textId="77777777" w:rsidR="00BA6E2B" w:rsidRDefault="00BA6E2B">
            <w:r>
              <w:t>0</w:t>
            </w:r>
          </w:p>
        </w:tc>
        <w:tc>
          <w:tcPr>
            <w:tcW w:w="941" w:type="dxa"/>
          </w:tcPr>
          <w:p w14:paraId="1D6894E3" w14:textId="77777777" w:rsidR="00BA6E2B" w:rsidRDefault="00BA6E2B">
            <w:r>
              <w:t>999.0</w:t>
            </w:r>
          </w:p>
        </w:tc>
        <w:tc>
          <w:tcPr>
            <w:tcW w:w="1419" w:type="dxa"/>
            <w:shd w:val="clear" w:color="auto" w:fill="000000" w:themeFill="text1"/>
          </w:tcPr>
          <w:p w14:paraId="50248468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23F86F9C" w14:textId="77777777" w:rsidR="00BA6E2B" w:rsidRDefault="00BA6E2B"/>
        </w:tc>
      </w:tr>
      <w:tr w:rsidR="00BA6E2B" w14:paraId="3EA63313" w14:textId="77777777" w:rsidTr="002B42DE">
        <w:trPr>
          <w:trHeight w:val="344"/>
        </w:trPr>
        <w:tc>
          <w:tcPr>
            <w:tcW w:w="1402" w:type="dxa"/>
          </w:tcPr>
          <w:p w14:paraId="500A5638" w14:textId="77777777" w:rsidR="00BA6E2B" w:rsidRDefault="00BA6E2B">
            <w:r>
              <w:t>Perimeter</w:t>
            </w:r>
          </w:p>
        </w:tc>
        <w:tc>
          <w:tcPr>
            <w:tcW w:w="2776" w:type="dxa"/>
          </w:tcPr>
          <w:p w14:paraId="379A8626" w14:textId="77777777" w:rsidR="00BA6E2B" w:rsidRPr="00BA6E2B" w:rsidRDefault="00BA6E2B">
            <w:r>
              <w:rPr>
                <w:b/>
              </w:rPr>
              <w:t>[mm]</w:t>
            </w:r>
          </w:p>
        </w:tc>
        <w:tc>
          <w:tcPr>
            <w:tcW w:w="837" w:type="dxa"/>
          </w:tcPr>
          <w:p w14:paraId="3E19378C" w14:textId="77777777" w:rsidR="00BA6E2B" w:rsidRDefault="00BA6E2B">
            <w:r>
              <w:t>0</w:t>
            </w:r>
          </w:p>
        </w:tc>
        <w:tc>
          <w:tcPr>
            <w:tcW w:w="941" w:type="dxa"/>
          </w:tcPr>
          <w:p w14:paraId="6874C43B" w14:textId="77777777" w:rsidR="00BA6E2B" w:rsidRDefault="00BA6E2B">
            <w:r>
              <w:t>9999.0</w:t>
            </w:r>
          </w:p>
        </w:tc>
        <w:tc>
          <w:tcPr>
            <w:tcW w:w="1419" w:type="dxa"/>
            <w:shd w:val="clear" w:color="auto" w:fill="000000" w:themeFill="text1"/>
          </w:tcPr>
          <w:p w14:paraId="62990B7C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245A7E26" w14:textId="77777777" w:rsidR="00BA6E2B" w:rsidRDefault="00BA6E2B"/>
        </w:tc>
      </w:tr>
      <w:tr w:rsidR="00BA6E2B" w14:paraId="6F4B3250" w14:textId="77777777" w:rsidTr="002B42DE">
        <w:trPr>
          <w:trHeight w:val="324"/>
        </w:trPr>
        <w:tc>
          <w:tcPr>
            <w:tcW w:w="1402" w:type="dxa"/>
          </w:tcPr>
          <w:p w14:paraId="09022D62" w14:textId="77777777" w:rsidR="00BA6E2B" w:rsidRDefault="00BA6E2B">
            <w:r>
              <w:t>Cross Section</w:t>
            </w:r>
          </w:p>
        </w:tc>
        <w:tc>
          <w:tcPr>
            <w:tcW w:w="2776" w:type="dxa"/>
          </w:tcPr>
          <w:p w14:paraId="3393B509" w14:textId="77777777" w:rsidR="00BA6E2B" w:rsidRPr="00BA6E2B" w:rsidRDefault="00BA6E2B">
            <w:r>
              <w:rPr>
                <w:b/>
              </w:rPr>
              <w:t>[mm^2]</w:t>
            </w:r>
            <w:bookmarkStart w:id="0" w:name="_GoBack"/>
            <w:bookmarkEnd w:id="0"/>
          </w:p>
        </w:tc>
        <w:tc>
          <w:tcPr>
            <w:tcW w:w="837" w:type="dxa"/>
          </w:tcPr>
          <w:p w14:paraId="4494E918" w14:textId="77777777" w:rsidR="00BA6E2B" w:rsidRDefault="00BA6E2B">
            <w:r>
              <w:t>0</w:t>
            </w:r>
          </w:p>
        </w:tc>
        <w:tc>
          <w:tcPr>
            <w:tcW w:w="941" w:type="dxa"/>
          </w:tcPr>
          <w:p w14:paraId="1FBF1ADB" w14:textId="77777777" w:rsidR="00BA6E2B" w:rsidRDefault="00BA6E2B">
            <w:r>
              <w:t>99999.0</w:t>
            </w:r>
          </w:p>
        </w:tc>
        <w:tc>
          <w:tcPr>
            <w:tcW w:w="1419" w:type="dxa"/>
            <w:shd w:val="clear" w:color="auto" w:fill="000000" w:themeFill="text1"/>
          </w:tcPr>
          <w:p w14:paraId="017614EF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2A0DD258" w14:textId="77777777" w:rsidR="00BA6E2B" w:rsidRDefault="00BA6E2B"/>
        </w:tc>
      </w:tr>
      <w:tr w:rsidR="00BA6E2B" w14:paraId="735E660A" w14:textId="77777777" w:rsidTr="002B42DE">
        <w:trPr>
          <w:trHeight w:val="344"/>
        </w:trPr>
        <w:tc>
          <w:tcPr>
            <w:tcW w:w="1402" w:type="dxa"/>
          </w:tcPr>
          <w:p w14:paraId="32D6232F" w14:textId="77777777" w:rsidR="00BA6E2B" w:rsidRDefault="00BA6E2B">
            <w:r>
              <w:t>Aspect Ratio</w:t>
            </w:r>
          </w:p>
        </w:tc>
        <w:tc>
          <w:tcPr>
            <w:tcW w:w="2776" w:type="dxa"/>
          </w:tcPr>
          <w:p w14:paraId="5C108489" w14:textId="77777777" w:rsidR="00BA6E2B" w:rsidRDefault="00BA6E2B">
            <w:r>
              <w:t>Ratio of the axis length with the smallest diameter</w:t>
            </w:r>
            <w:r w:rsidR="00A16A0B">
              <w:t xml:space="preserve"> to the max diameter</w:t>
            </w:r>
          </w:p>
        </w:tc>
        <w:tc>
          <w:tcPr>
            <w:tcW w:w="837" w:type="dxa"/>
          </w:tcPr>
          <w:p w14:paraId="00B95A09" w14:textId="77777777" w:rsidR="00BA6E2B" w:rsidRDefault="00A16A0B">
            <w:r>
              <w:t>0</w:t>
            </w:r>
          </w:p>
        </w:tc>
        <w:tc>
          <w:tcPr>
            <w:tcW w:w="941" w:type="dxa"/>
          </w:tcPr>
          <w:p w14:paraId="61BFABB6" w14:textId="77777777" w:rsidR="00BA6E2B" w:rsidRDefault="00A16A0B">
            <w:r>
              <w:t>1</w:t>
            </w:r>
          </w:p>
        </w:tc>
        <w:tc>
          <w:tcPr>
            <w:tcW w:w="1419" w:type="dxa"/>
            <w:shd w:val="clear" w:color="auto" w:fill="000000" w:themeFill="text1"/>
          </w:tcPr>
          <w:p w14:paraId="112B57E9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46D84F13" w14:textId="77777777" w:rsidR="00BA6E2B" w:rsidRDefault="00BA6E2B"/>
        </w:tc>
      </w:tr>
      <w:tr w:rsidR="00A16A0B" w14:paraId="02B801E8" w14:textId="77777777" w:rsidTr="002F3908">
        <w:trPr>
          <w:trHeight w:val="818"/>
        </w:trPr>
        <w:tc>
          <w:tcPr>
            <w:tcW w:w="1402" w:type="dxa"/>
            <w:vMerge w:val="restart"/>
          </w:tcPr>
          <w:p w14:paraId="077D7B2F" w14:textId="77777777" w:rsidR="00A16A0B" w:rsidRDefault="00A16A0B">
            <w:r>
              <w:t>Complexity</w:t>
            </w:r>
          </w:p>
        </w:tc>
        <w:tc>
          <w:tcPr>
            <w:tcW w:w="2776" w:type="dxa"/>
            <w:vMerge w:val="restart"/>
          </w:tcPr>
          <w:p w14:paraId="73EB5CC3" w14:textId="77777777" w:rsidR="00A16A0B" w:rsidRDefault="00A16A0B">
            <w:r>
              <w:t xml:space="preserve">Product of two values. 1) Ratio of perimeter to the computed circumference using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oMath>
            <w:r>
              <w:rPr>
                <w:rFonts w:eastAsiaTheme="minorEastAsia"/>
              </w:rPr>
              <w:t>. 2) 1 + the average inter-pixel brightness of the flake.</w:t>
            </w:r>
          </w:p>
        </w:tc>
        <w:tc>
          <w:tcPr>
            <w:tcW w:w="837" w:type="dxa"/>
            <w:vMerge w:val="restart"/>
          </w:tcPr>
          <w:p w14:paraId="2752A8DE" w14:textId="77777777" w:rsidR="00A16A0B" w:rsidRDefault="00A16A0B">
            <w:r>
              <w:t>0</w:t>
            </w:r>
          </w:p>
        </w:tc>
        <w:tc>
          <w:tcPr>
            <w:tcW w:w="941" w:type="dxa"/>
            <w:vMerge w:val="restart"/>
          </w:tcPr>
          <w:p w14:paraId="29250239" w14:textId="77777777" w:rsidR="00A16A0B" w:rsidRDefault="00A16A0B">
            <w:r>
              <w:t>99.0</w:t>
            </w:r>
          </w:p>
        </w:tc>
        <w:tc>
          <w:tcPr>
            <w:tcW w:w="1419" w:type="dxa"/>
          </w:tcPr>
          <w:p w14:paraId="0BD319AE" w14:textId="77777777" w:rsidR="00A16A0B" w:rsidRDefault="00A16A0B">
            <w:r>
              <w:t>&lt; 1.35</w:t>
            </w:r>
          </w:p>
        </w:tc>
        <w:tc>
          <w:tcPr>
            <w:tcW w:w="2614" w:type="dxa"/>
          </w:tcPr>
          <w:p w14:paraId="3C8CDAF0" w14:textId="77777777" w:rsidR="00A16A0B" w:rsidRDefault="00A16A0B">
            <w:r>
              <w:t>Tends to be lump or conical graupel</w:t>
            </w:r>
          </w:p>
        </w:tc>
      </w:tr>
      <w:tr w:rsidR="00A16A0B" w14:paraId="0B6EBA6B" w14:textId="77777777" w:rsidTr="002F3908">
        <w:trPr>
          <w:trHeight w:val="817"/>
        </w:trPr>
        <w:tc>
          <w:tcPr>
            <w:tcW w:w="1402" w:type="dxa"/>
            <w:vMerge/>
          </w:tcPr>
          <w:p w14:paraId="682DD727" w14:textId="77777777" w:rsidR="00A16A0B" w:rsidRDefault="00A16A0B"/>
        </w:tc>
        <w:tc>
          <w:tcPr>
            <w:tcW w:w="2776" w:type="dxa"/>
            <w:vMerge/>
          </w:tcPr>
          <w:p w14:paraId="41A3E403" w14:textId="77777777" w:rsidR="00A16A0B" w:rsidRDefault="00A16A0B"/>
        </w:tc>
        <w:tc>
          <w:tcPr>
            <w:tcW w:w="837" w:type="dxa"/>
            <w:vMerge/>
          </w:tcPr>
          <w:p w14:paraId="476F26B3" w14:textId="77777777" w:rsidR="00A16A0B" w:rsidRDefault="00A16A0B"/>
        </w:tc>
        <w:tc>
          <w:tcPr>
            <w:tcW w:w="941" w:type="dxa"/>
            <w:vMerge/>
          </w:tcPr>
          <w:p w14:paraId="0E2C722E" w14:textId="77777777" w:rsidR="00A16A0B" w:rsidRDefault="00A16A0B"/>
        </w:tc>
        <w:tc>
          <w:tcPr>
            <w:tcW w:w="1419" w:type="dxa"/>
          </w:tcPr>
          <w:p w14:paraId="5A24F752" w14:textId="77777777" w:rsidR="00A16A0B" w:rsidRDefault="00A16A0B">
            <w:r>
              <w:t>&gt; 1.75</w:t>
            </w:r>
          </w:p>
        </w:tc>
        <w:tc>
          <w:tcPr>
            <w:tcW w:w="2614" w:type="dxa"/>
          </w:tcPr>
          <w:p w14:paraId="5730EFDC" w14:textId="77777777" w:rsidR="00A16A0B" w:rsidRDefault="00A16A0B">
            <w:r>
              <w:t>Tends to be more aggregated</w:t>
            </w:r>
          </w:p>
        </w:tc>
      </w:tr>
      <w:tr w:rsidR="008C7800" w14:paraId="480E1554" w14:textId="77777777" w:rsidTr="008C7800">
        <w:trPr>
          <w:trHeight w:val="675"/>
        </w:trPr>
        <w:tc>
          <w:tcPr>
            <w:tcW w:w="1402" w:type="dxa"/>
            <w:vMerge w:val="restart"/>
          </w:tcPr>
          <w:p w14:paraId="31F25923" w14:textId="77777777" w:rsidR="008C7800" w:rsidRDefault="008C7800">
            <w:r>
              <w:t>Focus</w:t>
            </w:r>
          </w:p>
        </w:tc>
        <w:tc>
          <w:tcPr>
            <w:tcW w:w="2776" w:type="dxa"/>
            <w:vMerge w:val="restart"/>
          </w:tcPr>
          <w:p w14:paraId="39526B62" w14:textId="44867F0B" w:rsidR="008C7800" w:rsidRPr="002C6595" w:rsidRDefault="002C6595">
            <w:r>
              <w:t xml:space="preserve">The voll4 Focus measure as shown in Santos, 1997, </w:t>
            </w:r>
            <w:r>
              <w:rPr>
                <w:b/>
              </w:rPr>
              <w:t>but</w:t>
            </w:r>
            <w:r>
              <w:t xml:space="preserve"> for some reason implemented as a global mean instead of double summation.  Perhaps to take advantage of smaller values?  We tried as double summation and the numbers become very large, but a log scale isn’t very helpful either.</w:t>
            </w:r>
          </w:p>
        </w:tc>
        <w:tc>
          <w:tcPr>
            <w:tcW w:w="837" w:type="dxa"/>
            <w:vMerge w:val="restart"/>
          </w:tcPr>
          <w:p w14:paraId="29EE5603" w14:textId="77777777" w:rsidR="008C7800" w:rsidRDefault="008C7800">
            <w:r>
              <w:t>0</w:t>
            </w:r>
          </w:p>
        </w:tc>
        <w:tc>
          <w:tcPr>
            <w:tcW w:w="941" w:type="dxa"/>
            <w:vMerge w:val="restart"/>
          </w:tcPr>
          <w:p w14:paraId="3766688A" w14:textId="77777777" w:rsidR="008C7800" w:rsidRDefault="008C7800">
            <w:r>
              <w:t>99999.0</w:t>
            </w:r>
          </w:p>
        </w:tc>
        <w:tc>
          <w:tcPr>
            <w:tcW w:w="1419" w:type="dxa"/>
          </w:tcPr>
          <w:p w14:paraId="6EC5397E" w14:textId="77777777" w:rsidR="008C7800" w:rsidRDefault="008C7800">
            <w:r>
              <w:t xml:space="preserve">&lt; </w:t>
            </w:r>
            <w:r w:rsidR="008B4B51">
              <w:t>15</w:t>
            </w:r>
          </w:p>
        </w:tc>
        <w:tc>
          <w:tcPr>
            <w:tcW w:w="2614" w:type="dxa"/>
          </w:tcPr>
          <w:p w14:paraId="1F3B7BEE" w14:textId="77777777" w:rsidR="008C7800" w:rsidRDefault="008C7800">
            <w:r>
              <w:t>Almost definitely out-of-focus</w:t>
            </w:r>
          </w:p>
        </w:tc>
      </w:tr>
      <w:tr w:rsidR="008C7800" w14:paraId="57F0F47B" w14:textId="77777777" w:rsidTr="008C7800">
        <w:trPr>
          <w:trHeight w:val="675"/>
        </w:trPr>
        <w:tc>
          <w:tcPr>
            <w:tcW w:w="1402" w:type="dxa"/>
            <w:vMerge/>
          </w:tcPr>
          <w:p w14:paraId="5F551660" w14:textId="77777777" w:rsidR="008C7800" w:rsidRDefault="008C7800"/>
        </w:tc>
        <w:tc>
          <w:tcPr>
            <w:tcW w:w="2776" w:type="dxa"/>
            <w:vMerge/>
          </w:tcPr>
          <w:p w14:paraId="5E483910" w14:textId="77777777" w:rsidR="008C7800" w:rsidRDefault="008C7800"/>
        </w:tc>
        <w:tc>
          <w:tcPr>
            <w:tcW w:w="837" w:type="dxa"/>
            <w:vMerge/>
          </w:tcPr>
          <w:p w14:paraId="13C21300" w14:textId="77777777" w:rsidR="008C7800" w:rsidRDefault="008C7800"/>
        </w:tc>
        <w:tc>
          <w:tcPr>
            <w:tcW w:w="941" w:type="dxa"/>
            <w:vMerge/>
          </w:tcPr>
          <w:p w14:paraId="175FA7F7" w14:textId="77777777" w:rsidR="008C7800" w:rsidRDefault="008C7800"/>
        </w:tc>
        <w:tc>
          <w:tcPr>
            <w:tcW w:w="1419" w:type="dxa"/>
          </w:tcPr>
          <w:p w14:paraId="4BBB74B7" w14:textId="77777777" w:rsidR="008C7800" w:rsidRDefault="008C7800">
            <w:r>
              <w:t>&gt; 100</w:t>
            </w:r>
          </w:p>
        </w:tc>
        <w:tc>
          <w:tcPr>
            <w:tcW w:w="2614" w:type="dxa"/>
          </w:tcPr>
          <w:p w14:paraId="71795CFB" w14:textId="77777777" w:rsidR="008C7800" w:rsidRDefault="008C7800">
            <w:r>
              <w:t>Good chance to be in-focus (the higher the threshold, the more likely)</w:t>
            </w:r>
          </w:p>
        </w:tc>
      </w:tr>
      <w:tr w:rsidR="00BA6E2B" w14:paraId="310609FB" w14:textId="77777777" w:rsidTr="002B42DE">
        <w:trPr>
          <w:trHeight w:val="344"/>
        </w:trPr>
        <w:tc>
          <w:tcPr>
            <w:tcW w:w="1402" w:type="dxa"/>
          </w:tcPr>
          <w:p w14:paraId="51DFF0B8" w14:textId="77777777" w:rsidR="00BA6E2B" w:rsidRDefault="008C7800">
            <w:r>
              <w:t>Total Pores</w:t>
            </w:r>
          </w:p>
        </w:tc>
        <w:tc>
          <w:tcPr>
            <w:tcW w:w="2776" w:type="dxa"/>
          </w:tcPr>
          <w:p w14:paraId="17229B1D" w14:textId="77777777" w:rsidR="00BA6E2B" w:rsidRDefault="008C7800">
            <w:r>
              <w:t>The number of pores detected in the flake</w:t>
            </w:r>
          </w:p>
        </w:tc>
        <w:tc>
          <w:tcPr>
            <w:tcW w:w="837" w:type="dxa"/>
          </w:tcPr>
          <w:p w14:paraId="25A559F7" w14:textId="77777777" w:rsidR="00BA6E2B" w:rsidRDefault="008C7800">
            <w:r>
              <w:t>0</w:t>
            </w:r>
          </w:p>
        </w:tc>
        <w:tc>
          <w:tcPr>
            <w:tcW w:w="941" w:type="dxa"/>
          </w:tcPr>
          <w:p w14:paraId="53791592" w14:textId="77777777" w:rsidR="00BA6E2B" w:rsidRDefault="008C7800">
            <w:r>
              <w:t>99999</w:t>
            </w:r>
          </w:p>
        </w:tc>
        <w:tc>
          <w:tcPr>
            <w:tcW w:w="1419" w:type="dxa"/>
            <w:shd w:val="clear" w:color="auto" w:fill="000000" w:themeFill="text1"/>
          </w:tcPr>
          <w:p w14:paraId="673D6EC2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3ACEF7D2" w14:textId="77777777" w:rsidR="00BA6E2B" w:rsidRDefault="00BA6E2B"/>
        </w:tc>
      </w:tr>
      <w:tr w:rsidR="00BA6E2B" w14:paraId="466A1158" w14:textId="77777777" w:rsidTr="002B42DE">
        <w:trPr>
          <w:trHeight w:val="344"/>
        </w:trPr>
        <w:tc>
          <w:tcPr>
            <w:tcW w:w="1402" w:type="dxa"/>
          </w:tcPr>
          <w:p w14:paraId="4FB9C217" w14:textId="77777777" w:rsidR="00BA6E2B" w:rsidRDefault="008C7800">
            <w:r>
              <w:t>Mean Pore Area</w:t>
            </w:r>
          </w:p>
        </w:tc>
        <w:tc>
          <w:tcPr>
            <w:tcW w:w="2776" w:type="dxa"/>
          </w:tcPr>
          <w:p w14:paraId="2457D961" w14:textId="77777777" w:rsidR="00BA6E2B" w:rsidRPr="008C7800" w:rsidRDefault="008C7800">
            <w:r>
              <w:t xml:space="preserve">Average size of the pores detected </w:t>
            </w:r>
            <w:r>
              <w:rPr>
                <w:b/>
              </w:rPr>
              <w:t>(</w:t>
            </w:r>
            <w:r w:rsidR="000206BE">
              <w:rPr>
                <w:b/>
              </w:rPr>
              <w:t xml:space="preserve">not yet </w:t>
            </w:r>
            <w:r>
              <w:rPr>
                <w:b/>
              </w:rPr>
              <w:t>implemented)</w:t>
            </w:r>
          </w:p>
        </w:tc>
        <w:tc>
          <w:tcPr>
            <w:tcW w:w="837" w:type="dxa"/>
          </w:tcPr>
          <w:p w14:paraId="593B1CBA" w14:textId="77777777" w:rsidR="00BA6E2B" w:rsidRDefault="00BA6E2B"/>
        </w:tc>
        <w:tc>
          <w:tcPr>
            <w:tcW w:w="941" w:type="dxa"/>
          </w:tcPr>
          <w:p w14:paraId="4BC9F824" w14:textId="77777777" w:rsidR="00BA6E2B" w:rsidRDefault="00BA6E2B"/>
        </w:tc>
        <w:tc>
          <w:tcPr>
            <w:tcW w:w="1419" w:type="dxa"/>
            <w:shd w:val="clear" w:color="auto" w:fill="000000" w:themeFill="text1"/>
          </w:tcPr>
          <w:p w14:paraId="1E415E7D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4CD299FB" w14:textId="77777777" w:rsidR="00BA6E2B" w:rsidRDefault="00BA6E2B"/>
        </w:tc>
      </w:tr>
      <w:tr w:rsidR="00BA6E2B" w14:paraId="24B1F971" w14:textId="77777777" w:rsidTr="002B42DE">
        <w:trPr>
          <w:trHeight w:val="344"/>
        </w:trPr>
        <w:tc>
          <w:tcPr>
            <w:tcW w:w="1402" w:type="dxa"/>
          </w:tcPr>
          <w:p w14:paraId="6E282AAB" w14:textId="77777777" w:rsidR="00BA6E2B" w:rsidRDefault="008C7800">
            <w:r>
              <w:t>Symmetry</w:t>
            </w:r>
          </w:p>
        </w:tc>
        <w:tc>
          <w:tcPr>
            <w:tcW w:w="2776" w:type="dxa"/>
          </w:tcPr>
          <w:p w14:paraId="15F9C9D3" w14:textId="77777777" w:rsidR="00BA6E2B" w:rsidRPr="008C7800" w:rsidRDefault="008C7800">
            <w:r>
              <w:rPr>
                <w:b/>
              </w:rPr>
              <w:t>(</w:t>
            </w:r>
            <w:r w:rsidR="000206BE">
              <w:rPr>
                <w:b/>
              </w:rPr>
              <w:t>not yet</w:t>
            </w:r>
            <w:r>
              <w:rPr>
                <w:b/>
              </w:rPr>
              <w:t xml:space="preserve"> implemented)</w:t>
            </w:r>
          </w:p>
        </w:tc>
        <w:tc>
          <w:tcPr>
            <w:tcW w:w="837" w:type="dxa"/>
          </w:tcPr>
          <w:p w14:paraId="2AC0661E" w14:textId="77777777" w:rsidR="00BA6E2B" w:rsidRDefault="00BA6E2B"/>
        </w:tc>
        <w:tc>
          <w:tcPr>
            <w:tcW w:w="941" w:type="dxa"/>
          </w:tcPr>
          <w:p w14:paraId="321A44CC" w14:textId="77777777" w:rsidR="00BA6E2B" w:rsidRDefault="00BA6E2B"/>
        </w:tc>
        <w:tc>
          <w:tcPr>
            <w:tcW w:w="1419" w:type="dxa"/>
            <w:shd w:val="clear" w:color="auto" w:fill="000000" w:themeFill="text1"/>
          </w:tcPr>
          <w:p w14:paraId="34CE0CEB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5FD25FCC" w14:textId="77777777" w:rsidR="00BA6E2B" w:rsidRDefault="00BA6E2B"/>
        </w:tc>
      </w:tr>
      <w:tr w:rsidR="004F157C" w14:paraId="365E1551" w14:textId="77777777" w:rsidTr="004F157C">
        <w:trPr>
          <w:trHeight w:val="1208"/>
        </w:trPr>
        <w:tc>
          <w:tcPr>
            <w:tcW w:w="1402" w:type="dxa"/>
            <w:vMerge w:val="restart"/>
          </w:tcPr>
          <w:p w14:paraId="5ABB1FD8" w14:textId="77777777" w:rsidR="004F157C" w:rsidRDefault="004F157C">
            <w:r>
              <w:lastRenderedPageBreak/>
              <w:t>Frac</w:t>
            </w:r>
          </w:p>
        </w:tc>
        <w:tc>
          <w:tcPr>
            <w:tcW w:w="2776" w:type="dxa"/>
            <w:vMerge w:val="restart"/>
          </w:tcPr>
          <w:p w14:paraId="57C1795C" w14:textId="77777777" w:rsidR="004F157C" w:rsidRDefault="004F157C">
            <w:r>
              <w:t xml:space="preserve">Proxy for the </w:t>
            </w:r>
            <w:proofErr w:type="spellStart"/>
            <w:r>
              <w:t>fracturedness</w:t>
            </w:r>
            <w:proofErr w:type="spellEnd"/>
            <w:r>
              <w:t xml:space="preserve"> of the flake. Weighted average of the distance between each pixel and the closest non-zero pixel. As such, the expected result is that lower Frac is associated with more aggregates and dendrites.</w:t>
            </w:r>
          </w:p>
        </w:tc>
        <w:tc>
          <w:tcPr>
            <w:tcW w:w="837" w:type="dxa"/>
            <w:vMerge w:val="restart"/>
          </w:tcPr>
          <w:p w14:paraId="34599ABC" w14:textId="77777777" w:rsidR="004F157C" w:rsidRDefault="004F157C">
            <w:r>
              <w:t>0</w:t>
            </w:r>
          </w:p>
        </w:tc>
        <w:tc>
          <w:tcPr>
            <w:tcW w:w="941" w:type="dxa"/>
            <w:vMerge w:val="restart"/>
          </w:tcPr>
          <w:p w14:paraId="6C91EFBE" w14:textId="77777777" w:rsidR="004F157C" w:rsidRDefault="004F157C">
            <w:r>
              <w:t>99.0</w:t>
            </w:r>
          </w:p>
        </w:tc>
        <w:tc>
          <w:tcPr>
            <w:tcW w:w="1419" w:type="dxa"/>
          </w:tcPr>
          <w:p w14:paraId="35A736DF" w14:textId="77777777" w:rsidR="004F157C" w:rsidRDefault="004F157C">
            <w:r>
              <w:t>&lt; 1.5</w:t>
            </w:r>
          </w:p>
        </w:tc>
        <w:tc>
          <w:tcPr>
            <w:tcW w:w="2614" w:type="dxa"/>
          </w:tcPr>
          <w:p w14:paraId="6AF0E3BF" w14:textId="77777777" w:rsidR="004F157C" w:rsidRDefault="004F157C">
            <w:r>
              <w:t>Likely to be aggregates, dendrites, less rimed</w:t>
            </w:r>
          </w:p>
        </w:tc>
      </w:tr>
      <w:tr w:rsidR="004F157C" w14:paraId="508BF59C" w14:textId="77777777" w:rsidTr="004F157C">
        <w:trPr>
          <w:trHeight w:val="1207"/>
        </w:trPr>
        <w:tc>
          <w:tcPr>
            <w:tcW w:w="1402" w:type="dxa"/>
            <w:vMerge/>
          </w:tcPr>
          <w:p w14:paraId="526492E0" w14:textId="77777777" w:rsidR="004F157C" w:rsidRDefault="004F157C"/>
        </w:tc>
        <w:tc>
          <w:tcPr>
            <w:tcW w:w="2776" w:type="dxa"/>
            <w:vMerge/>
          </w:tcPr>
          <w:p w14:paraId="77637C08" w14:textId="77777777" w:rsidR="004F157C" w:rsidRDefault="004F157C"/>
        </w:tc>
        <w:tc>
          <w:tcPr>
            <w:tcW w:w="837" w:type="dxa"/>
            <w:vMerge/>
          </w:tcPr>
          <w:p w14:paraId="3E9A24E2" w14:textId="77777777" w:rsidR="004F157C" w:rsidRDefault="004F157C"/>
        </w:tc>
        <w:tc>
          <w:tcPr>
            <w:tcW w:w="941" w:type="dxa"/>
            <w:vMerge/>
          </w:tcPr>
          <w:p w14:paraId="3A85D42F" w14:textId="77777777" w:rsidR="004F157C" w:rsidRDefault="004F157C"/>
        </w:tc>
        <w:tc>
          <w:tcPr>
            <w:tcW w:w="1419" w:type="dxa"/>
          </w:tcPr>
          <w:p w14:paraId="3B29DFFF" w14:textId="77777777" w:rsidR="004F157C" w:rsidRDefault="004F157C">
            <w:r>
              <w:t>&gt; 1.6</w:t>
            </w:r>
          </w:p>
        </w:tc>
        <w:tc>
          <w:tcPr>
            <w:tcW w:w="2614" w:type="dxa"/>
          </w:tcPr>
          <w:p w14:paraId="50831A12" w14:textId="77777777" w:rsidR="004F157C" w:rsidRDefault="004F157C">
            <w:r>
              <w:t>More likely to be rimed, with graupel m</w:t>
            </w:r>
            <w:r w:rsidR="00920B01">
              <w:t>ore likely the higher the value</w:t>
            </w:r>
          </w:p>
        </w:tc>
      </w:tr>
      <w:tr w:rsidR="00BA6E2B" w14:paraId="70CEC623" w14:textId="77777777" w:rsidTr="002B42DE">
        <w:trPr>
          <w:trHeight w:val="344"/>
        </w:trPr>
        <w:tc>
          <w:tcPr>
            <w:tcW w:w="1402" w:type="dxa"/>
          </w:tcPr>
          <w:p w14:paraId="245A500B" w14:textId="77777777" w:rsidR="00BA6E2B" w:rsidRDefault="00920B01">
            <w:r>
              <w:t>Mean Intensity</w:t>
            </w:r>
          </w:p>
        </w:tc>
        <w:tc>
          <w:tcPr>
            <w:tcW w:w="2776" w:type="dxa"/>
          </w:tcPr>
          <w:p w14:paraId="37BD7ED4" w14:textId="77777777" w:rsidR="00BA6E2B" w:rsidRDefault="00920B01">
            <w:r>
              <w:t>Average brightness of the flake</w:t>
            </w:r>
          </w:p>
        </w:tc>
        <w:tc>
          <w:tcPr>
            <w:tcW w:w="837" w:type="dxa"/>
          </w:tcPr>
          <w:p w14:paraId="7BB753C5" w14:textId="77777777" w:rsidR="00BA6E2B" w:rsidRDefault="00920B01">
            <w:r>
              <w:t>0</w:t>
            </w:r>
          </w:p>
        </w:tc>
        <w:tc>
          <w:tcPr>
            <w:tcW w:w="941" w:type="dxa"/>
          </w:tcPr>
          <w:p w14:paraId="431594B8" w14:textId="77777777" w:rsidR="00BA6E2B" w:rsidRDefault="00920B01">
            <w:r>
              <w:t>255</w:t>
            </w:r>
          </w:p>
        </w:tc>
        <w:tc>
          <w:tcPr>
            <w:tcW w:w="1419" w:type="dxa"/>
            <w:shd w:val="clear" w:color="auto" w:fill="000000" w:themeFill="text1"/>
          </w:tcPr>
          <w:p w14:paraId="2DF71CE7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7C1C9D62" w14:textId="77777777" w:rsidR="00BA6E2B" w:rsidRDefault="00BA6E2B"/>
        </w:tc>
      </w:tr>
      <w:tr w:rsidR="00BA6E2B" w14:paraId="3F4E27AE" w14:textId="77777777" w:rsidTr="002B42DE">
        <w:trPr>
          <w:trHeight w:val="344"/>
        </w:trPr>
        <w:tc>
          <w:tcPr>
            <w:tcW w:w="1402" w:type="dxa"/>
          </w:tcPr>
          <w:p w14:paraId="47943190" w14:textId="77777777" w:rsidR="00BA6E2B" w:rsidRDefault="00920B01">
            <w:r>
              <w:t>Solidity</w:t>
            </w:r>
          </w:p>
        </w:tc>
        <w:tc>
          <w:tcPr>
            <w:tcW w:w="2776" w:type="dxa"/>
          </w:tcPr>
          <w:p w14:paraId="1B3E3D1A" w14:textId="77777777" w:rsidR="00BA6E2B" w:rsidRDefault="00920B01">
            <w:r>
              <w:t>The ratio of the area of the flake to the area of the convex hull that encloses the flake</w:t>
            </w:r>
          </w:p>
        </w:tc>
        <w:tc>
          <w:tcPr>
            <w:tcW w:w="837" w:type="dxa"/>
          </w:tcPr>
          <w:p w14:paraId="3DBAD57A" w14:textId="77777777" w:rsidR="00BA6E2B" w:rsidRDefault="00920B01">
            <w:r>
              <w:t>0</w:t>
            </w:r>
          </w:p>
        </w:tc>
        <w:tc>
          <w:tcPr>
            <w:tcW w:w="941" w:type="dxa"/>
          </w:tcPr>
          <w:p w14:paraId="439C8AA7" w14:textId="77777777" w:rsidR="00BA6E2B" w:rsidRDefault="00920B01">
            <w:r>
              <w:t>1</w:t>
            </w:r>
          </w:p>
        </w:tc>
        <w:tc>
          <w:tcPr>
            <w:tcW w:w="1419" w:type="dxa"/>
            <w:shd w:val="clear" w:color="auto" w:fill="000000" w:themeFill="text1"/>
          </w:tcPr>
          <w:p w14:paraId="678000A2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34A52A22" w14:textId="77777777" w:rsidR="00BA6E2B" w:rsidRDefault="00BA6E2B"/>
        </w:tc>
      </w:tr>
      <w:tr w:rsidR="00920B01" w14:paraId="27BBC645" w14:textId="77777777" w:rsidTr="00920B01">
        <w:trPr>
          <w:trHeight w:val="803"/>
        </w:trPr>
        <w:tc>
          <w:tcPr>
            <w:tcW w:w="1402" w:type="dxa"/>
            <w:vMerge w:val="restart"/>
          </w:tcPr>
          <w:p w14:paraId="34550312" w14:textId="77777777" w:rsidR="00920B01" w:rsidRDefault="00920B01">
            <w:r>
              <w:t>Radial Variance</w:t>
            </w:r>
          </w:p>
        </w:tc>
        <w:tc>
          <w:tcPr>
            <w:tcW w:w="2776" w:type="dxa"/>
            <w:vMerge w:val="restart"/>
          </w:tcPr>
          <w:p w14:paraId="3C63A09B" w14:textId="77777777" w:rsidR="00920B01" w:rsidRDefault="00920B01">
            <w:r>
              <w:t>From the calculated center of the flake, a line is drawn at each angle from 0 to 359 (360 lines). The radial variance is the variance of the lengths of these lines.</w:t>
            </w:r>
          </w:p>
        </w:tc>
        <w:tc>
          <w:tcPr>
            <w:tcW w:w="837" w:type="dxa"/>
            <w:vMerge w:val="restart"/>
          </w:tcPr>
          <w:p w14:paraId="551536B2" w14:textId="77777777" w:rsidR="00920B01" w:rsidRDefault="00920B01">
            <w:r>
              <w:t>0</w:t>
            </w:r>
          </w:p>
        </w:tc>
        <w:tc>
          <w:tcPr>
            <w:tcW w:w="941" w:type="dxa"/>
            <w:vMerge w:val="restart"/>
          </w:tcPr>
          <w:p w14:paraId="29E02315" w14:textId="77777777" w:rsidR="00920B01" w:rsidRDefault="00920B01">
            <w:r>
              <w:t>99.0</w:t>
            </w:r>
          </w:p>
        </w:tc>
        <w:tc>
          <w:tcPr>
            <w:tcW w:w="1419" w:type="dxa"/>
          </w:tcPr>
          <w:p w14:paraId="16AE9CFF" w14:textId="77777777" w:rsidR="00920B01" w:rsidRDefault="00920B01">
            <w:r>
              <w:t>&lt; 1.5</w:t>
            </w:r>
          </w:p>
        </w:tc>
        <w:tc>
          <w:tcPr>
            <w:tcW w:w="2614" w:type="dxa"/>
          </w:tcPr>
          <w:p w14:paraId="43C9973D" w14:textId="77777777" w:rsidR="00920B01" w:rsidRDefault="00920B01">
            <w:r>
              <w:t>Probably graupel</w:t>
            </w:r>
          </w:p>
        </w:tc>
      </w:tr>
      <w:tr w:rsidR="00920B01" w14:paraId="4F518840" w14:textId="77777777" w:rsidTr="00920B01">
        <w:trPr>
          <w:trHeight w:val="802"/>
        </w:trPr>
        <w:tc>
          <w:tcPr>
            <w:tcW w:w="1402" w:type="dxa"/>
            <w:vMerge/>
          </w:tcPr>
          <w:p w14:paraId="69B20700" w14:textId="77777777" w:rsidR="00920B01" w:rsidRDefault="00920B01"/>
        </w:tc>
        <w:tc>
          <w:tcPr>
            <w:tcW w:w="2776" w:type="dxa"/>
            <w:vMerge/>
          </w:tcPr>
          <w:p w14:paraId="6DC38535" w14:textId="77777777" w:rsidR="00920B01" w:rsidRDefault="00920B01"/>
        </w:tc>
        <w:tc>
          <w:tcPr>
            <w:tcW w:w="837" w:type="dxa"/>
            <w:vMerge/>
          </w:tcPr>
          <w:p w14:paraId="00DA25EA" w14:textId="77777777" w:rsidR="00920B01" w:rsidRDefault="00920B01"/>
        </w:tc>
        <w:tc>
          <w:tcPr>
            <w:tcW w:w="941" w:type="dxa"/>
            <w:vMerge/>
          </w:tcPr>
          <w:p w14:paraId="4BED2599" w14:textId="77777777" w:rsidR="00920B01" w:rsidRDefault="00920B01"/>
        </w:tc>
        <w:tc>
          <w:tcPr>
            <w:tcW w:w="1419" w:type="dxa"/>
          </w:tcPr>
          <w:p w14:paraId="63C84323" w14:textId="77777777" w:rsidR="00920B01" w:rsidRDefault="00920B01">
            <w:r>
              <w:t xml:space="preserve">&gt; </w:t>
            </w:r>
            <w:r w:rsidR="00CB17DA">
              <w:t>2</w:t>
            </w:r>
          </w:p>
        </w:tc>
        <w:tc>
          <w:tcPr>
            <w:tcW w:w="2614" w:type="dxa"/>
          </w:tcPr>
          <w:p w14:paraId="14C471E1" w14:textId="77777777" w:rsidR="00920B01" w:rsidRDefault="00CB17DA">
            <w:r>
              <w:t>Probably aggregates</w:t>
            </w:r>
          </w:p>
        </w:tc>
      </w:tr>
      <w:tr w:rsidR="00BA6E2B" w14:paraId="179BDA3A" w14:textId="77777777" w:rsidTr="002B42DE">
        <w:trPr>
          <w:trHeight w:val="344"/>
        </w:trPr>
        <w:tc>
          <w:tcPr>
            <w:tcW w:w="1402" w:type="dxa"/>
          </w:tcPr>
          <w:p w14:paraId="05E4CBFB" w14:textId="77777777" w:rsidR="00BA6E2B" w:rsidRDefault="00CB17DA">
            <w:r>
              <w:t>Roughness</w:t>
            </w:r>
          </w:p>
        </w:tc>
        <w:tc>
          <w:tcPr>
            <w:tcW w:w="2776" w:type="dxa"/>
          </w:tcPr>
          <w:p w14:paraId="35720FA9" w14:textId="77777777" w:rsidR="00BA6E2B" w:rsidRPr="00CB17DA" w:rsidRDefault="00CB17DA">
            <w:r>
              <w:t xml:space="preserve">The difference between the max diameter and the max diameter as calculated by the measured area of the flake </w:t>
            </w:r>
            <w:r>
              <w:rPr>
                <w:b/>
              </w:rPr>
              <w:t>[mm]</w:t>
            </w:r>
          </w:p>
        </w:tc>
        <w:tc>
          <w:tcPr>
            <w:tcW w:w="837" w:type="dxa"/>
          </w:tcPr>
          <w:p w14:paraId="73CF9810" w14:textId="77777777" w:rsidR="00BA6E2B" w:rsidRDefault="00CB17DA">
            <w:r>
              <w:t>0</w:t>
            </w:r>
          </w:p>
        </w:tc>
        <w:tc>
          <w:tcPr>
            <w:tcW w:w="941" w:type="dxa"/>
          </w:tcPr>
          <w:p w14:paraId="7E099D90" w14:textId="77777777" w:rsidR="00BA6E2B" w:rsidRDefault="00CB17DA">
            <w:r>
              <w:t>999.0</w:t>
            </w:r>
          </w:p>
        </w:tc>
        <w:tc>
          <w:tcPr>
            <w:tcW w:w="1419" w:type="dxa"/>
            <w:shd w:val="clear" w:color="auto" w:fill="000000" w:themeFill="text1"/>
          </w:tcPr>
          <w:p w14:paraId="51EE91FA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4862F69E" w14:textId="77777777" w:rsidR="00BA6E2B" w:rsidRDefault="00BA6E2B"/>
        </w:tc>
      </w:tr>
      <w:tr w:rsidR="00BA6E2B" w14:paraId="2EF782DD" w14:textId="77777777" w:rsidTr="002B42DE">
        <w:trPr>
          <w:trHeight w:val="344"/>
        </w:trPr>
        <w:tc>
          <w:tcPr>
            <w:tcW w:w="1402" w:type="dxa"/>
          </w:tcPr>
          <w:p w14:paraId="510F99D8" w14:textId="77777777" w:rsidR="00BA6E2B" w:rsidRDefault="00CB17DA">
            <w:r>
              <w:t>Corners</w:t>
            </w:r>
          </w:p>
        </w:tc>
        <w:tc>
          <w:tcPr>
            <w:tcW w:w="2776" w:type="dxa"/>
          </w:tcPr>
          <w:p w14:paraId="5E8DC4D7" w14:textId="77777777" w:rsidR="00BA6E2B" w:rsidRDefault="00CB17DA">
            <w:r>
              <w:t>The estimated number of corners the flake has… (still experimental)</w:t>
            </w:r>
          </w:p>
        </w:tc>
        <w:tc>
          <w:tcPr>
            <w:tcW w:w="837" w:type="dxa"/>
          </w:tcPr>
          <w:p w14:paraId="7FC54FFB" w14:textId="77777777" w:rsidR="00BA6E2B" w:rsidRDefault="00BA6E2B"/>
        </w:tc>
        <w:tc>
          <w:tcPr>
            <w:tcW w:w="941" w:type="dxa"/>
          </w:tcPr>
          <w:p w14:paraId="4F9A5541" w14:textId="77777777" w:rsidR="00BA6E2B" w:rsidRDefault="00BA6E2B"/>
        </w:tc>
        <w:tc>
          <w:tcPr>
            <w:tcW w:w="1419" w:type="dxa"/>
            <w:shd w:val="clear" w:color="auto" w:fill="000000" w:themeFill="text1"/>
          </w:tcPr>
          <w:p w14:paraId="6EC58F3A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2C14A480" w14:textId="77777777" w:rsidR="00BA6E2B" w:rsidRDefault="00BA6E2B"/>
        </w:tc>
      </w:tr>
      <w:tr w:rsidR="00BA6E2B" w14:paraId="072D2FB1" w14:textId="77777777" w:rsidTr="002B42DE">
        <w:trPr>
          <w:trHeight w:val="324"/>
        </w:trPr>
        <w:tc>
          <w:tcPr>
            <w:tcW w:w="1402" w:type="dxa"/>
          </w:tcPr>
          <w:p w14:paraId="6864333F" w14:textId="77777777" w:rsidR="00BA6E2B" w:rsidRDefault="00CB17DA">
            <w:r>
              <w:t>Concave Number</w:t>
            </w:r>
          </w:p>
        </w:tc>
        <w:tc>
          <w:tcPr>
            <w:tcW w:w="2776" w:type="dxa"/>
          </w:tcPr>
          <w:p w14:paraId="670EE55B" w14:textId="77777777" w:rsidR="00BA6E2B" w:rsidRPr="00CB17DA" w:rsidRDefault="00CB17DA">
            <w:r>
              <w:t xml:space="preserve">Same as solidity, but computes the absolute difference instead of the ratio </w:t>
            </w:r>
            <w:r>
              <w:rPr>
                <w:b/>
              </w:rPr>
              <w:t>[mm/2]</w:t>
            </w:r>
          </w:p>
        </w:tc>
        <w:tc>
          <w:tcPr>
            <w:tcW w:w="837" w:type="dxa"/>
          </w:tcPr>
          <w:p w14:paraId="4181BC5C" w14:textId="77777777" w:rsidR="00BA6E2B" w:rsidRDefault="00BA6E2B"/>
        </w:tc>
        <w:tc>
          <w:tcPr>
            <w:tcW w:w="941" w:type="dxa"/>
          </w:tcPr>
          <w:p w14:paraId="2923E945" w14:textId="77777777" w:rsidR="00BA6E2B" w:rsidRDefault="00BA6E2B"/>
        </w:tc>
        <w:tc>
          <w:tcPr>
            <w:tcW w:w="1419" w:type="dxa"/>
            <w:shd w:val="clear" w:color="auto" w:fill="000000" w:themeFill="text1"/>
          </w:tcPr>
          <w:p w14:paraId="61B8B95B" w14:textId="77777777" w:rsidR="00BA6E2B" w:rsidRDefault="00BA6E2B"/>
        </w:tc>
        <w:tc>
          <w:tcPr>
            <w:tcW w:w="2614" w:type="dxa"/>
            <w:shd w:val="clear" w:color="auto" w:fill="000000" w:themeFill="text1"/>
          </w:tcPr>
          <w:p w14:paraId="06ABC83B" w14:textId="77777777" w:rsidR="00BA6E2B" w:rsidRDefault="00BA6E2B"/>
        </w:tc>
      </w:tr>
      <w:tr w:rsidR="007B0598" w14:paraId="788ED78E" w14:textId="77777777" w:rsidTr="002C6595">
        <w:trPr>
          <w:trHeight w:val="324"/>
        </w:trPr>
        <w:tc>
          <w:tcPr>
            <w:tcW w:w="1402" w:type="dxa"/>
          </w:tcPr>
          <w:p w14:paraId="347C7426" w14:textId="52E56740" w:rsidR="007B0598" w:rsidRDefault="002C6595">
            <w:proofErr w:type="spellStart"/>
            <w:r>
              <w:t>Foc</w:t>
            </w:r>
            <w:proofErr w:type="spellEnd"/>
            <w:r>
              <w:t xml:space="preserve"> Voll4 Revised</w:t>
            </w:r>
          </w:p>
        </w:tc>
        <w:tc>
          <w:tcPr>
            <w:tcW w:w="2776" w:type="dxa"/>
          </w:tcPr>
          <w:p w14:paraId="25809E30" w14:textId="76300142" w:rsidR="007B0598" w:rsidRDefault="002C6595">
            <w:r>
              <w:t xml:space="preserve">The voll4 Focus measure from </w:t>
            </w:r>
            <w:proofErr w:type="gramStart"/>
            <w:r>
              <w:t>above, but</w:t>
            </w:r>
            <w:proofErr w:type="gramEnd"/>
            <w:r>
              <w:t xml:space="preserve"> normalized by the average pixel intensity.</w:t>
            </w:r>
          </w:p>
        </w:tc>
        <w:tc>
          <w:tcPr>
            <w:tcW w:w="837" w:type="dxa"/>
          </w:tcPr>
          <w:p w14:paraId="52415CBF" w14:textId="76FA550A" w:rsidR="007B0598" w:rsidRDefault="00067E65">
            <w:r>
              <w:t>0</w:t>
            </w:r>
          </w:p>
        </w:tc>
        <w:tc>
          <w:tcPr>
            <w:tcW w:w="941" w:type="dxa"/>
          </w:tcPr>
          <w:p w14:paraId="308FE5E7" w14:textId="61CF9FD9" w:rsidR="007B0598" w:rsidRDefault="00067E65">
            <w:r>
              <w:t>999</w:t>
            </w:r>
          </w:p>
        </w:tc>
        <w:tc>
          <w:tcPr>
            <w:tcW w:w="1419" w:type="dxa"/>
            <w:shd w:val="clear" w:color="auto" w:fill="auto"/>
          </w:tcPr>
          <w:p w14:paraId="1B739295" w14:textId="75343EF7" w:rsidR="007B0598" w:rsidRDefault="00067E65">
            <w:r>
              <w:t>?</w:t>
            </w:r>
          </w:p>
        </w:tc>
        <w:tc>
          <w:tcPr>
            <w:tcW w:w="2614" w:type="dxa"/>
            <w:shd w:val="clear" w:color="auto" w:fill="auto"/>
          </w:tcPr>
          <w:p w14:paraId="3BCB126E" w14:textId="25D987E8" w:rsidR="007B0598" w:rsidRDefault="00067E65">
            <w:r>
              <w:t>TBD</w:t>
            </w:r>
          </w:p>
        </w:tc>
      </w:tr>
      <w:tr w:rsidR="007B0598" w14:paraId="0B06B9B6" w14:textId="77777777" w:rsidTr="002C6595">
        <w:trPr>
          <w:trHeight w:val="324"/>
        </w:trPr>
        <w:tc>
          <w:tcPr>
            <w:tcW w:w="1402" w:type="dxa"/>
          </w:tcPr>
          <w:p w14:paraId="3DC2E892" w14:textId="68316224" w:rsidR="007B0598" w:rsidRDefault="00067E65">
            <w:proofErr w:type="spellStart"/>
            <w:r>
              <w:t>Foc</w:t>
            </w:r>
            <w:proofErr w:type="spellEnd"/>
            <w:r>
              <w:t xml:space="preserve"> </w:t>
            </w:r>
            <w:proofErr w:type="spellStart"/>
            <w:r>
              <w:t>NorVar</w:t>
            </w:r>
            <w:proofErr w:type="spellEnd"/>
          </w:p>
        </w:tc>
        <w:tc>
          <w:tcPr>
            <w:tcW w:w="2776" w:type="dxa"/>
          </w:tcPr>
          <w:p w14:paraId="79610ECA" w14:textId="7283FC59" w:rsidR="007B0598" w:rsidRDefault="00067E65">
            <w:r>
              <w:t>The normalized variance Focus measure as defined in Santos, 1997.  Same as below but divided by mean pixel intensity.</w:t>
            </w:r>
          </w:p>
        </w:tc>
        <w:tc>
          <w:tcPr>
            <w:tcW w:w="837" w:type="dxa"/>
          </w:tcPr>
          <w:p w14:paraId="1B814EDA" w14:textId="075AC23B" w:rsidR="007B0598" w:rsidRDefault="00067E65">
            <w:r>
              <w:t>0</w:t>
            </w:r>
          </w:p>
        </w:tc>
        <w:tc>
          <w:tcPr>
            <w:tcW w:w="941" w:type="dxa"/>
          </w:tcPr>
          <w:p w14:paraId="4ABAB139" w14:textId="7DBEBE28" w:rsidR="007B0598" w:rsidRDefault="00067E65">
            <w:r>
              <w:t>9999</w:t>
            </w:r>
          </w:p>
        </w:tc>
        <w:tc>
          <w:tcPr>
            <w:tcW w:w="1419" w:type="dxa"/>
            <w:shd w:val="clear" w:color="auto" w:fill="auto"/>
          </w:tcPr>
          <w:p w14:paraId="772DC21A" w14:textId="70608296" w:rsidR="007B0598" w:rsidRDefault="00067E65">
            <w:r>
              <w:t>?</w:t>
            </w:r>
          </w:p>
        </w:tc>
        <w:tc>
          <w:tcPr>
            <w:tcW w:w="2614" w:type="dxa"/>
            <w:shd w:val="clear" w:color="auto" w:fill="auto"/>
          </w:tcPr>
          <w:p w14:paraId="317C5CF4" w14:textId="0384A0D2" w:rsidR="007B0598" w:rsidRDefault="00067E65">
            <w:r>
              <w:t>TBD</w:t>
            </w:r>
          </w:p>
        </w:tc>
      </w:tr>
      <w:tr w:rsidR="007B0598" w14:paraId="08229DE4" w14:textId="77777777" w:rsidTr="002C6595">
        <w:trPr>
          <w:trHeight w:val="324"/>
        </w:trPr>
        <w:tc>
          <w:tcPr>
            <w:tcW w:w="1402" w:type="dxa"/>
          </w:tcPr>
          <w:p w14:paraId="24F2C1EB" w14:textId="0A4F921A" w:rsidR="007B0598" w:rsidRDefault="00067E65">
            <w:proofErr w:type="spellStart"/>
            <w:r>
              <w:t>Foc</w:t>
            </w:r>
            <w:proofErr w:type="spellEnd"/>
            <w:r>
              <w:t xml:space="preserve"> Variance</w:t>
            </w:r>
          </w:p>
        </w:tc>
        <w:tc>
          <w:tcPr>
            <w:tcW w:w="2776" w:type="dxa"/>
          </w:tcPr>
          <w:p w14:paraId="1006191F" w14:textId="13DFCC34" w:rsidR="007B0598" w:rsidRDefault="00067E65">
            <w:r>
              <w:t>The variance Focus measure as defined in Santos, 1997.  Average square difference between each pixel and average pixel intensity.</w:t>
            </w:r>
          </w:p>
        </w:tc>
        <w:tc>
          <w:tcPr>
            <w:tcW w:w="837" w:type="dxa"/>
          </w:tcPr>
          <w:p w14:paraId="54FE73B1" w14:textId="5058E392" w:rsidR="007B0598" w:rsidRDefault="00067E65">
            <w:r>
              <w:t>0</w:t>
            </w:r>
          </w:p>
        </w:tc>
        <w:tc>
          <w:tcPr>
            <w:tcW w:w="941" w:type="dxa"/>
          </w:tcPr>
          <w:p w14:paraId="40A9430D" w14:textId="3EBD8316" w:rsidR="007B0598" w:rsidRDefault="00067E65">
            <w:r>
              <w:t>999999</w:t>
            </w:r>
          </w:p>
        </w:tc>
        <w:tc>
          <w:tcPr>
            <w:tcW w:w="1419" w:type="dxa"/>
            <w:shd w:val="clear" w:color="auto" w:fill="auto"/>
          </w:tcPr>
          <w:p w14:paraId="387E218A" w14:textId="02E23B2A" w:rsidR="007B0598" w:rsidRDefault="00067E65">
            <w:r>
              <w:t>?</w:t>
            </w:r>
          </w:p>
        </w:tc>
        <w:tc>
          <w:tcPr>
            <w:tcW w:w="2614" w:type="dxa"/>
            <w:shd w:val="clear" w:color="auto" w:fill="auto"/>
          </w:tcPr>
          <w:p w14:paraId="59D9807A" w14:textId="634036C4" w:rsidR="007B0598" w:rsidRDefault="00067E65">
            <w:r>
              <w:t>TBD</w:t>
            </w:r>
          </w:p>
        </w:tc>
      </w:tr>
      <w:tr w:rsidR="007B0598" w14:paraId="79E27721" w14:textId="77777777" w:rsidTr="002C6595">
        <w:trPr>
          <w:trHeight w:val="324"/>
        </w:trPr>
        <w:tc>
          <w:tcPr>
            <w:tcW w:w="1402" w:type="dxa"/>
          </w:tcPr>
          <w:p w14:paraId="23D78106" w14:textId="7BBEFA5C" w:rsidR="007B0598" w:rsidRDefault="00067E65">
            <w:proofErr w:type="spellStart"/>
            <w:r>
              <w:lastRenderedPageBreak/>
              <w:t>Foc</w:t>
            </w:r>
            <w:proofErr w:type="spellEnd"/>
            <w:r>
              <w:t xml:space="preserve"> </w:t>
            </w:r>
            <w:proofErr w:type="spellStart"/>
            <w:r>
              <w:t>GaussDiff</w:t>
            </w:r>
            <w:proofErr w:type="spellEnd"/>
          </w:p>
        </w:tc>
        <w:tc>
          <w:tcPr>
            <w:tcW w:w="2776" w:type="dxa"/>
          </w:tcPr>
          <w:p w14:paraId="1D7D97A0" w14:textId="55BE8541" w:rsidR="007B0598" w:rsidRDefault="00067E65">
            <w:r>
              <w:t xml:space="preserve">The average absolute difference in pixel intensity between original image and a gaussian filtered version of the image (using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  <w:proofErr w:type="spellStart"/>
            <w:r>
              <w:t>imgaussfilt</w:t>
            </w:r>
            <w:proofErr w:type="spellEnd"/>
            <w:r>
              <w:t xml:space="preserve"> with filter of 3).</w:t>
            </w:r>
          </w:p>
        </w:tc>
        <w:tc>
          <w:tcPr>
            <w:tcW w:w="837" w:type="dxa"/>
          </w:tcPr>
          <w:p w14:paraId="762EA3CC" w14:textId="1C968299" w:rsidR="007B0598" w:rsidRDefault="00067E65">
            <w:r>
              <w:t>0</w:t>
            </w:r>
          </w:p>
        </w:tc>
        <w:tc>
          <w:tcPr>
            <w:tcW w:w="941" w:type="dxa"/>
          </w:tcPr>
          <w:p w14:paraId="764EBEAB" w14:textId="2D1D191B" w:rsidR="007B0598" w:rsidRDefault="00067E65">
            <w:r>
              <w:t>999</w:t>
            </w:r>
          </w:p>
        </w:tc>
        <w:tc>
          <w:tcPr>
            <w:tcW w:w="1419" w:type="dxa"/>
            <w:shd w:val="clear" w:color="auto" w:fill="auto"/>
          </w:tcPr>
          <w:p w14:paraId="45F5A62C" w14:textId="3C045BC0" w:rsidR="007B0598" w:rsidRDefault="00067E65">
            <w:r>
              <w:t>?</w:t>
            </w:r>
          </w:p>
        </w:tc>
        <w:tc>
          <w:tcPr>
            <w:tcW w:w="2614" w:type="dxa"/>
            <w:shd w:val="clear" w:color="auto" w:fill="auto"/>
          </w:tcPr>
          <w:p w14:paraId="7BF4D028" w14:textId="4C20C378" w:rsidR="007B0598" w:rsidRDefault="00067E65">
            <w:r>
              <w:t>TBD</w:t>
            </w:r>
          </w:p>
        </w:tc>
      </w:tr>
      <w:tr w:rsidR="00067E65" w14:paraId="20D11F72" w14:textId="77777777" w:rsidTr="002C6595">
        <w:trPr>
          <w:trHeight w:val="324"/>
        </w:trPr>
        <w:tc>
          <w:tcPr>
            <w:tcW w:w="1402" w:type="dxa"/>
          </w:tcPr>
          <w:p w14:paraId="7AC36F0C" w14:textId="0F9E6443" w:rsidR="00067E65" w:rsidRDefault="00067E65">
            <w:proofErr w:type="spellStart"/>
            <w:r>
              <w:t>Foc</w:t>
            </w:r>
            <w:proofErr w:type="spellEnd"/>
            <w:r>
              <w:t xml:space="preserve"> </w:t>
            </w:r>
            <w:proofErr w:type="spellStart"/>
            <w:r>
              <w:t>GaussDiff</w:t>
            </w:r>
            <w:proofErr w:type="spellEnd"/>
            <w:r>
              <w:t xml:space="preserve"> Voll4</w:t>
            </w:r>
          </w:p>
        </w:tc>
        <w:tc>
          <w:tcPr>
            <w:tcW w:w="2776" w:type="dxa"/>
          </w:tcPr>
          <w:p w14:paraId="3B0EF716" w14:textId="77777777" w:rsidR="00067E65" w:rsidRDefault="00067E65">
            <w:r>
              <w:t>A weird combination…</w:t>
            </w:r>
          </w:p>
          <w:p w14:paraId="36880BA2" w14:textId="08B3FE10" w:rsidR="00067E65" w:rsidRDefault="00067E65">
            <w:r>
              <w:t xml:space="preserve">The absolute difference between </w:t>
            </w:r>
            <w:proofErr w:type="spellStart"/>
            <w:r>
              <w:t>Foc</w:t>
            </w:r>
            <w:proofErr w:type="spellEnd"/>
            <w:r>
              <w:t xml:space="preserve"> Voll4 Revised as measured on (a) the original image and (b) a gaussian filtered version of the image (using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  <w:proofErr w:type="spellStart"/>
            <w:r>
              <w:t>imgaussfilt</w:t>
            </w:r>
            <w:proofErr w:type="spellEnd"/>
            <w:r>
              <w:t xml:space="preserve"> with filter of 3).</w:t>
            </w:r>
          </w:p>
        </w:tc>
        <w:tc>
          <w:tcPr>
            <w:tcW w:w="837" w:type="dxa"/>
          </w:tcPr>
          <w:p w14:paraId="1C330B76" w14:textId="55CCBA2C" w:rsidR="00067E65" w:rsidRDefault="00067E65">
            <w:r>
              <w:t>0</w:t>
            </w:r>
          </w:p>
        </w:tc>
        <w:tc>
          <w:tcPr>
            <w:tcW w:w="941" w:type="dxa"/>
          </w:tcPr>
          <w:p w14:paraId="6D4B7DE3" w14:textId="61F8B076" w:rsidR="00067E65" w:rsidRDefault="00067E65">
            <w:r>
              <w:t>99</w:t>
            </w:r>
          </w:p>
        </w:tc>
        <w:tc>
          <w:tcPr>
            <w:tcW w:w="1419" w:type="dxa"/>
            <w:shd w:val="clear" w:color="auto" w:fill="auto"/>
          </w:tcPr>
          <w:p w14:paraId="04296D5F" w14:textId="11B02106" w:rsidR="00067E65" w:rsidRDefault="00067E65">
            <w:r>
              <w:t>?</w:t>
            </w:r>
          </w:p>
        </w:tc>
        <w:tc>
          <w:tcPr>
            <w:tcW w:w="2614" w:type="dxa"/>
            <w:shd w:val="clear" w:color="auto" w:fill="auto"/>
          </w:tcPr>
          <w:p w14:paraId="0E6CFF60" w14:textId="77777777" w:rsidR="00067E65" w:rsidRDefault="00067E65">
            <w:r>
              <w:t>A value closer to 0 means that the gaussian filter didn’t change the image much, meaning it’s likely out of focus.</w:t>
            </w:r>
          </w:p>
          <w:p w14:paraId="04351895" w14:textId="77777777" w:rsidR="00067E65" w:rsidRDefault="00067E65"/>
          <w:p w14:paraId="44558B63" w14:textId="268EFEBA" w:rsidR="00067E65" w:rsidRDefault="00067E65">
            <w:r>
              <w:t>Close to 0 -&gt; Out of focus</w:t>
            </w:r>
          </w:p>
        </w:tc>
      </w:tr>
    </w:tbl>
    <w:p w14:paraId="6B8B4BE0" w14:textId="061F21D1" w:rsidR="00BA6E2B" w:rsidRDefault="00BA6E2B"/>
    <w:p w14:paraId="73611368" w14:textId="2F95DB33" w:rsidR="002C6595" w:rsidRPr="002C6595" w:rsidRDefault="002C6595">
      <w:pPr>
        <w:rPr>
          <w:u w:val="single"/>
        </w:rPr>
      </w:pPr>
      <w:r w:rsidRPr="002C6595">
        <w:rPr>
          <w:u w:val="single"/>
        </w:rPr>
        <w:t>References</w:t>
      </w:r>
    </w:p>
    <w:p w14:paraId="2307002E" w14:textId="723C17BE" w:rsidR="002C6595" w:rsidRDefault="002C6595">
      <w:r>
        <w:t>Santos et. al. 1997. ‘Evaluation of autofocus functions in molecular cytogenetic analysis’</w:t>
      </w:r>
    </w:p>
    <w:sectPr w:rsidR="002C6595" w:rsidSect="00BA6E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B"/>
    <w:rsid w:val="000206BE"/>
    <w:rsid w:val="00067E65"/>
    <w:rsid w:val="002B42DE"/>
    <w:rsid w:val="002C6595"/>
    <w:rsid w:val="002F3908"/>
    <w:rsid w:val="004F157C"/>
    <w:rsid w:val="007B0598"/>
    <w:rsid w:val="008676B0"/>
    <w:rsid w:val="008B4B51"/>
    <w:rsid w:val="008C7800"/>
    <w:rsid w:val="00920B01"/>
    <w:rsid w:val="00A16A0B"/>
    <w:rsid w:val="00BA6E2B"/>
    <w:rsid w:val="00C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996"/>
  <w15:chartTrackingRefBased/>
  <w15:docId w15:val="{3C4B0926-B861-43AA-8490-EE2716C0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6A0B"/>
    <w:rPr>
      <w:color w:val="808080"/>
    </w:rPr>
  </w:style>
  <w:style w:type="paragraph" w:styleId="ListParagraph">
    <w:name w:val="List Paragraph"/>
    <w:basedOn w:val="Normal"/>
    <w:uiPriority w:val="34"/>
    <w:qFormat/>
    <w:rsid w:val="00A16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780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F39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Rhodes</dc:creator>
  <cp:keywords/>
  <dc:description/>
  <cp:lastModifiedBy>rhodess</cp:lastModifiedBy>
  <cp:revision>5</cp:revision>
  <dcterms:created xsi:type="dcterms:W3CDTF">2016-10-10T17:49:00Z</dcterms:created>
  <dcterms:modified xsi:type="dcterms:W3CDTF">2018-07-18T18:59:00Z</dcterms:modified>
</cp:coreProperties>
</file>