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CLÍNICA NUTRIVIDA</w:t>
        <w:br/>
      </w:r>
      <w:r>
        <w:rPr>
          <w:sz w:val="28"/>
        </w:rPr>
        <w:t>Informe de cobertura de testing — EP2</w:t>
      </w:r>
    </w:p>
    <w:p>
      <w:pPr>
        <w:jc w:val="center"/>
      </w:pPr>
      <w:r>
        <w:t>DSY1104 · Desarrollo FullStack II · 14/10/2026</w:t>
      </w:r>
    </w:p>
    <w:p>
      <w:pPr>
        <w:pStyle w:val="Heading1"/>
      </w:pPr>
      <w:r>
        <w:t>1. Objetivo</w:t>
      </w:r>
    </w:p>
    <w:p>
      <w:r>
        <w:t>Documentar el alcance y los resultados de las pruebas unitarias del frontend React de NutriVida, las herramientas utilizadas, las métricas de cobertura y las limitaciones detectadas.</w:t>
      </w:r>
    </w:p>
    <w:p>
      <w:pPr>
        <w:pStyle w:val="Heading1"/>
      </w:pPr>
      <w:r>
        <w:t>2. Entorno de pruebas</w:t>
      </w:r>
    </w:p>
    <w:p>
      <w:pPr>
        <w:pStyle w:val="ListBullet"/>
      </w:pPr>
      <w:r>
        <w:t>Ejecutor: Vitest 3.2.7 integrado con Vite.</w:t>
      </w:r>
    </w:p>
    <w:p>
      <w:pPr>
        <w:pStyle w:val="ListBullet"/>
      </w:pPr>
      <w:r>
        <w:t>Entorno DOM: jsdom.</w:t>
      </w:r>
    </w:p>
    <w:p>
      <w:pPr>
        <w:pStyle w:val="ListBullet"/>
      </w:pPr>
      <w:r>
        <w:t>Renderizado y consultas de interfaz: React Testing Library.</w:t>
      </w:r>
    </w:p>
    <w:p>
      <w:pPr>
        <w:pStyle w:val="ListBullet"/>
      </w:pPr>
      <w:r>
        <w:t>Aserciones DOM: @testing-library/jest-dom/vitest.</w:t>
      </w:r>
    </w:p>
    <w:p>
      <w:pPr>
        <w:pStyle w:val="ListBullet"/>
      </w:pPr>
      <w:r>
        <w:t>Espía: vi.spyOn sobre Storage.prototype.setItem para verificar localStorage.</w:t>
      </w:r>
    </w:p>
    <w:p>
      <w:pPr>
        <w:pStyle w:val="ListBullet"/>
      </w:pPr>
      <w:r>
        <w:t>Comandos: npm.cmd run test:run, npm.cmd run coverage y npm.cmd run build.</w:t>
      </w:r>
    </w:p>
    <w:p>
      <w:pPr>
        <w:pStyle w:val="Heading1"/>
      </w:pPr>
      <w:r>
        <w:t>3. Resultado de ejecución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Indicador</w:t>
            </w:r>
          </w:p>
        </w:tc>
        <w:tc>
          <w:tcPr>
            <w:tcW w:type="dxa" w:w="5112"/>
          </w:tcPr>
          <w:p>
            <w:r>
              <w:t>Resultado</w:t>
            </w:r>
          </w:p>
        </w:tc>
      </w:tr>
      <w:tr>
        <w:tc>
          <w:tcPr>
            <w:tcW w:type="dxa" w:w="5112"/>
          </w:tcPr>
          <w:p>
            <w:r>
              <w:t>Archivo de prueba</w:t>
            </w:r>
          </w:p>
        </w:tc>
        <w:tc>
          <w:tcPr>
            <w:tcW w:type="dxa" w:w="5112"/>
          </w:tcPr>
          <w:p>
            <w:r>
              <w:t>src/App.test.jsx</w:t>
            </w:r>
          </w:p>
        </w:tc>
      </w:tr>
      <w:tr>
        <w:tc>
          <w:tcPr>
            <w:tcW w:type="dxa" w:w="5112"/>
          </w:tcPr>
          <w:p>
            <w:r>
              <w:t>Pruebas ejecutadas</w:t>
            </w:r>
          </w:p>
        </w:tc>
        <w:tc>
          <w:tcPr>
            <w:tcW w:type="dxa" w:w="5112"/>
          </w:tcPr>
          <w:p>
            <w:r>
              <w:t>10</w:t>
            </w:r>
          </w:p>
        </w:tc>
      </w:tr>
      <w:tr>
        <w:tc>
          <w:tcPr>
            <w:tcW w:type="dxa" w:w="5112"/>
          </w:tcPr>
          <w:p>
            <w:r>
              <w:t>Pruebas aprobadas</w:t>
            </w:r>
          </w:p>
        </w:tc>
        <w:tc>
          <w:tcPr>
            <w:tcW w:type="dxa" w:w="5112"/>
          </w:tcPr>
          <w:p>
            <w:r>
              <w:t>10 (100 %)</w:t>
            </w:r>
          </w:p>
        </w:tc>
      </w:tr>
      <w:tr>
        <w:tc>
          <w:tcPr>
            <w:tcW w:type="dxa" w:w="5112"/>
          </w:tcPr>
          <w:p>
            <w:r>
              <w:t>Pruebas fallidas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  <w:tr>
        <w:tc>
          <w:tcPr>
            <w:tcW w:type="dxa" w:w="5112"/>
          </w:tcPr>
          <w:p>
            <w:r>
              <w:t>Build de producción</w:t>
            </w:r>
          </w:p>
        </w:tc>
        <w:tc>
          <w:tcPr>
            <w:tcW w:type="dxa" w:w="5112"/>
          </w:tcPr>
          <w:p>
            <w:r>
              <w:t>Correcto; 355 módulos transformados</w:t>
            </w:r>
          </w:p>
        </w:tc>
      </w:tr>
    </w:tbl>
    <w:p>
      <w:pPr>
        <w:pStyle w:val="Heading1"/>
      </w:pPr>
      <w:r>
        <w:t>4. Matriz de pruebas y alcance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N.º</w:t>
            </w:r>
          </w:p>
        </w:tc>
        <w:tc>
          <w:tcPr>
            <w:tcW w:type="dxa" w:w="2556"/>
          </w:tcPr>
          <w:p>
            <w:r>
              <w:t>Prueba</w:t>
            </w:r>
          </w:p>
        </w:tc>
        <w:tc>
          <w:tcPr>
            <w:tcW w:type="dxa" w:w="2556"/>
          </w:tcPr>
          <w:p>
            <w:r>
              <w:t>Comportamiento verificado</w:t>
            </w:r>
          </w:p>
        </w:tc>
        <w:tc>
          <w:tcPr>
            <w:tcW w:type="dxa" w:w="2556"/>
          </w:tcPr>
          <w:p>
            <w:r>
              <w:t>Resultado</w:t>
            </w:r>
          </w:p>
        </w:tc>
      </w:tr>
      <w:tr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Muestra el título principal</w:t>
            </w:r>
          </w:p>
        </w:tc>
        <w:tc>
          <w:tcPr>
            <w:tcW w:type="dxa" w:w="2556"/>
          </w:tcPr>
          <w:p>
            <w:r>
              <w:t>Encabezado principal de Inicio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Muestra los tres servicios</w:t>
            </w:r>
          </w:p>
        </w:tc>
        <w:tc>
          <w:tcPr>
            <w:tcW w:type="dxa" w:w="2556"/>
          </w:tcPr>
          <w:p>
            <w:r>
              <w:t>Presentación de los tres servicios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  <w:tr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Permite guardar un servicio</w:t>
            </w:r>
          </w:p>
        </w:tc>
        <w:tc>
          <w:tcPr>
            <w:tcW w:type="dxa" w:w="2556"/>
          </w:tcPr>
          <w:p>
            <w:r>
              <w:t>El botón cambia a “Guardado”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Guarda el servicio en localStorage</w:t>
            </w:r>
          </w:p>
        </w:tc>
        <w:tc>
          <w:tcPr>
            <w:tcW w:type="dxa" w:w="2556"/>
          </w:tcPr>
          <w:p>
            <w:r>
              <w:t>vi.spyOn verifica setItem con clave y valor esperados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  <w:tr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Permite quitar un servicio guardado</w:t>
            </w:r>
          </w:p>
        </w:tc>
        <w:tc>
          <w:tcPr>
            <w:tcW w:type="dxa" w:w="2556"/>
          </w:tcPr>
          <w:p>
            <w:r>
              <w:t>El botón vuelve al estado inicial al pulsarlo de nuevo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  <w:tr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Muestra la página de servicios</w:t>
            </w:r>
          </w:p>
        </w:tc>
        <w:tc>
          <w:tcPr>
            <w:tcW w:type="dxa" w:w="2556"/>
          </w:tcPr>
          <w:p>
            <w:r>
              <w:t>Contenido de la ruta /servicios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  <w:tr>
        <w:tc>
          <w:tcPr>
            <w:tcW w:type="dxa" w:w="2556"/>
          </w:tcPr>
          <w:p>
            <w:r>
              <w:t>7</w:t>
            </w:r>
          </w:p>
        </w:tc>
        <w:tc>
          <w:tcPr>
            <w:tcW w:type="dxa" w:w="2556"/>
          </w:tcPr>
          <w:p>
            <w:r>
              <w:t>Muestra la página no encontrada</w:t>
            </w:r>
          </w:p>
        </w:tc>
        <w:tc>
          <w:tcPr>
            <w:tcW w:type="dxa" w:w="2556"/>
          </w:tcPr>
          <w:p>
            <w:r>
              <w:t>Mensaje para una ruta desconocida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  <w:tr>
        <w:tc>
          <w:tcPr>
            <w:tcW w:type="dxa" w:w="2556"/>
          </w:tcPr>
          <w:p>
            <w:r>
              <w:t>8</w:t>
            </w:r>
          </w:p>
        </w:tc>
        <w:tc>
          <w:tcPr>
            <w:tcW w:type="dxa" w:w="2556"/>
          </w:tcPr>
          <w:p>
            <w:r>
              <w:t>Muestra los enlaces de navegación</w:t>
            </w:r>
          </w:p>
        </w:tc>
        <w:tc>
          <w:tcPr>
            <w:tcW w:type="dxa" w:w="2556"/>
          </w:tcPr>
          <w:p>
            <w:r>
              <w:t>Enlaces Inicio y Servicios con sus rutas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  <w:tr>
        <w:tc>
          <w:tcPr>
            <w:tcW w:type="dxa" w:w="2556"/>
          </w:tcPr>
          <w:p>
            <w:r>
              <w:t>9</w:t>
            </w:r>
          </w:p>
        </w:tc>
        <w:tc>
          <w:tcPr>
            <w:tcW w:type="dxa" w:w="2556"/>
          </w:tcPr>
          <w:p>
            <w:r>
              <w:t>Muestra el pie de página</w:t>
            </w:r>
          </w:p>
        </w:tc>
        <w:tc>
          <w:tcPr>
            <w:tcW w:type="dxa" w:w="2556"/>
          </w:tcPr>
          <w:p>
            <w:r>
              <w:t>Texto institucional del footer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  <w:tr>
        <w:tc>
          <w:tcPr>
            <w:tcW w:type="dxa" w:w="2556"/>
          </w:tcPr>
          <w:p>
            <w:r>
              <w:t>10</w:t>
            </w:r>
          </w:p>
        </w:tc>
        <w:tc>
          <w:tcPr>
            <w:tcW w:type="dxa" w:w="2556"/>
          </w:tcPr>
          <w:p>
            <w:r>
              <w:t>Navega desde el botón principal</w:t>
            </w:r>
          </w:p>
        </w:tc>
        <w:tc>
          <w:tcPr>
            <w:tcW w:type="dxa" w:w="2556"/>
          </w:tcPr>
          <w:p>
            <w:r>
              <w:t>Clic en botón y contenido de servicios</w:t>
            </w:r>
          </w:p>
        </w:tc>
        <w:tc>
          <w:tcPr>
            <w:tcW w:type="dxa" w:w="2556"/>
          </w:tcPr>
          <w:p>
            <w:r>
              <w:t>Aprobada</w:t>
            </w:r>
          </w:p>
        </w:tc>
      </w:tr>
    </w:tbl>
    <w:p>
      <w:pPr>
        <w:pStyle w:val="Heading1"/>
      </w:pPr>
      <w:r>
        <w:t>5. Métricas de cobertura reportadas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t>Archivo / alcance</w:t>
            </w:r>
          </w:p>
        </w:tc>
        <w:tc>
          <w:tcPr>
            <w:tcW w:type="dxa" w:w="2045"/>
          </w:tcPr>
          <w:p>
            <w:r>
              <w:t>Statements</w:t>
            </w:r>
          </w:p>
        </w:tc>
        <w:tc>
          <w:tcPr>
            <w:tcW w:type="dxa" w:w="2045"/>
          </w:tcPr>
          <w:p>
            <w:r>
              <w:t>Branches</w:t>
            </w:r>
          </w:p>
        </w:tc>
        <w:tc>
          <w:tcPr>
            <w:tcW w:type="dxa" w:w="2045"/>
          </w:tcPr>
          <w:p>
            <w:r>
              <w:t>Functions</w:t>
            </w:r>
          </w:p>
        </w:tc>
        <w:tc>
          <w:tcPr>
            <w:tcW w:type="dxa" w:w="2045"/>
          </w:tcPr>
          <w:p>
            <w:r>
              <w:t>Lines</w:t>
            </w:r>
          </w:p>
        </w:tc>
      </w:tr>
      <w:tr>
        <w:tc>
          <w:tcPr>
            <w:tcW w:type="dxa" w:w="2045"/>
          </w:tcPr>
          <w:p>
            <w:r>
              <w:t>All files incluidos en src</w:t>
            </w:r>
          </w:p>
        </w:tc>
        <w:tc>
          <w:tcPr>
            <w:tcW w:type="dxa" w:w="2045"/>
          </w:tcPr>
          <w:p>
            <w:r>
              <w:t>92,95 %</w:t>
            </w:r>
          </w:p>
        </w:tc>
        <w:tc>
          <w:tcPr>
            <w:tcW w:type="dxa" w:w="2045"/>
          </w:tcPr>
          <w:p>
            <w:r>
              <w:t>100 %</w:t>
            </w:r>
          </w:p>
        </w:tc>
        <w:tc>
          <w:tcPr>
            <w:tcW w:type="dxa" w:w="2045"/>
          </w:tcPr>
          <w:p>
            <w:r>
              <w:t>100 %</w:t>
            </w:r>
          </w:p>
        </w:tc>
        <w:tc>
          <w:tcPr>
            <w:tcW w:type="dxa" w:w="2045"/>
          </w:tcPr>
          <w:p>
            <w:r>
              <w:t>92,95 %</w:t>
            </w:r>
          </w:p>
        </w:tc>
      </w:tr>
      <w:tr>
        <w:tc>
          <w:tcPr>
            <w:tcW w:type="dxa" w:w="2045"/>
          </w:tcPr>
          <w:p>
            <w:r>
              <w:t>src/App.jsx</w:t>
            </w:r>
          </w:p>
        </w:tc>
        <w:tc>
          <w:tcPr>
            <w:tcW w:type="dxa" w:w="2045"/>
          </w:tcPr>
          <w:p>
            <w:r>
              <w:t>100 %</w:t>
            </w:r>
          </w:p>
        </w:tc>
        <w:tc>
          <w:tcPr>
            <w:tcW w:type="dxa" w:w="2045"/>
          </w:tcPr>
          <w:p>
            <w:r>
              <w:t>100 %</w:t>
            </w:r>
          </w:p>
        </w:tc>
        <w:tc>
          <w:tcPr>
            <w:tcW w:type="dxa" w:w="2045"/>
          </w:tcPr>
          <w:p>
            <w:r>
              <w:t>100 %</w:t>
            </w:r>
          </w:p>
        </w:tc>
        <w:tc>
          <w:tcPr>
            <w:tcW w:type="dxa" w:w="2045"/>
          </w:tcPr>
          <w:p>
            <w:r>
              <w:t>100 %</w:t>
            </w:r>
          </w:p>
        </w:tc>
      </w:tr>
      <w:tr>
        <w:tc>
          <w:tcPr>
            <w:tcW w:type="dxa" w:w="2045"/>
          </w:tcPr>
          <w:p>
            <w:r>
              <w:t>src/main.jsx</w:t>
            </w:r>
          </w:p>
        </w:tc>
        <w:tc>
          <w:tcPr>
            <w:tcW w:type="dxa" w:w="2045"/>
          </w:tcPr>
          <w:p>
            <w:r>
              <w:t>0 %</w:t>
            </w:r>
          </w:p>
        </w:tc>
        <w:tc>
          <w:tcPr>
            <w:tcW w:type="dxa" w:w="2045"/>
          </w:tcPr>
          <w:p>
            <w:r>
              <w:t>100 %</w:t>
            </w:r>
          </w:p>
        </w:tc>
        <w:tc>
          <w:tcPr>
            <w:tcW w:type="dxa" w:w="2045"/>
          </w:tcPr>
          <w:p>
            <w:r>
              <w:t>100 %</w:t>
            </w:r>
          </w:p>
        </w:tc>
        <w:tc>
          <w:tcPr>
            <w:tcW w:type="dxa" w:w="2045"/>
          </w:tcPr>
          <w:p>
            <w:r>
              <w:t>0 %</w:t>
            </w:r>
          </w:p>
        </w:tc>
      </w:tr>
    </w:tbl>
    <w:p>
      <w:r>
        <w:t>Interpretación: App.jsx alcanzó 100 % en las cuatro métricas. El conjunto incluido de src registra 92,95 % en statements y lines porque main.jsx aparece sin líneas ejecutadas (líneas 2–12). Esto indica que el punto de entrada no se ejecutó directamente en estas pruebas; no implica por sí solo que la aplicación esté rota. Branches y functions figuran con 100 % en el reporte de V8.</w:t>
      </w:r>
    </w:p>
    <w:p>
      <w:pPr>
        <w:pStyle w:val="Heading1"/>
      </w:pPr>
      <w:r>
        <w:t>6. Hallazgos, alcance y limitaciones</w:t>
      </w:r>
    </w:p>
    <w:p>
      <w:pPr>
        <w:pStyle w:val="ListBullet"/>
      </w:pPr>
      <w:r>
        <w:t>Las pruebas cubren el renderizado de la interfaz inicial, navegación básica y guardado/eliminación de servicios.</w:t>
      </w:r>
    </w:p>
    <w:p>
      <w:pPr>
        <w:pStyle w:val="ListBullet"/>
      </w:pPr>
      <w:r>
        <w:t>La persistencia comprobada es localStorage del navegador; no demuestra persistencia en backend ni base de datos.</w:t>
      </w:r>
    </w:p>
    <w:p>
      <w:pPr>
        <w:pStyle w:val="ListBullet"/>
      </w:pPr>
      <w:r>
        <w:t>El espía vi.spyOn verifica que setItem se invoque con la clave y el valor esperados.</w:t>
      </w:r>
    </w:p>
    <w:p>
      <w:pPr>
        <w:pStyle w:val="ListBullet"/>
      </w:pPr>
      <w:r>
        <w:t>No se prueban aquí los scripts heredados de assets/js, servicios remotos ni autenticación contra un servidor.</w:t>
      </w:r>
    </w:p>
    <w:p>
      <w:pPr>
        <w:pStyle w:val="ListBullet"/>
      </w:pPr>
      <w:r>
        <w:t>El porcentaje de cobertura no sustituye la revisión de la calidad y relevancia de las expectativas.</w:t>
      </w:r>
    </w:p>
    <w:p>
      <w:pPr>
        <w:pStyle w:val="Heading1"/>
      </w:pPr>
      <w:r>
        <w:t>7. Conclusión</w:t>
      </w:r>
    </w:p>
    <w:p>
      <w:r>
        <w:t>La ejecución final registró diez pruebas aprobadas y ninguna fallida. App.jsx alcanzó 100 % de cobertura y src registró 92,95 % en statements y lines. La compilación de producción también finalizó correctamente. Como mejora, se recomienda añadir pruebas específicas para el punto de entrada y ampliar la matriz a otros componentes y flujos que formen parte del alcance final.</w:t>
      </w:r>
    </w:p>
    <w:p>
      <w:pPr>
        <w:pStyle w:val="Heading1"/>
      </w:pPr>
      <w:r>
        <w:t>8. Evidencias para adjuntar</w:t>
      </w:r>
    </w:p>
    <w:p>
      <w:pPr>
        <w:pStyle w:val="ListBullet"/>
      </w:pPr>
      <w:r>
        <w:t>Captura de terminal con “Tests 10 passed (10)”.</w:t>
      </w:r>
    </w:p>
    <w:p>
      <w:pPr>
        <w:pStyle w:val="ListBullet"/>
      </w:pPr>
      <w:r>
        <w:t>Captura de npm.cmd run coverage con la tabla de métricas.</w:t>
      </w:r>
    </w:p>
    <w:p>
      <w:pPr>
        <w:pStyle w:val="ListBullet"/>
      </w:pPr>
      <w:r>
        <w:t>Captura del resultado de npm.cmd run build.</w:t>
      </w:r>
    </w:p>
    <w:p>
      <w:pPr>
        <w:pStyle w:val="ListBullet"/>
      </w:pPr>
      <w:r>
        <w:t>Repositorio público: https://github.com/mrg722/ClinicaNutriVidaEP2</w:t>
      </w:r>
    </w:p>
    <w:p>
      <w:pPr>
        <w:pStyle w:val="ListBullet"/>
      </w:pPr>
      <w:r>
        <w:t>Pull Request fusionada: https://github.com/mrg722/ClinicaNutriVidaEP2/pull/2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