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11111"/>
          <w:sz w:val="64"/>
          <w:szCs w:val="64"/>
        </w:rPr>
        <w:t xml:space="preserve">4 BROTHERS</w:t>
      </w:r>
    </w:p>
    <w:p>
      <w:pPr>
        <w:spacing w:after="400"/>
        <w:jc w:val="center"/>
      </w:pPr>
      <w:r>
        <w:rPr>
          <w:rFonts w:ascii="Georgia" w:cs="Georgia" w:eastAsia="Georgia" w:hAnsi="Georgia"/>
          <w:b/>
          <w:bCs/>
          <w:color w:val="8B6F1F"/>
          <w:sz w:val="24"/>
          <w:szCs w:val="24"/>
        </w:rPr>
        <w:t xml:space="preserve">S E C U R I T Y   &amp;   G U A R D I N G</w:t>
      </w:r>
    </w:p>
    <w:p>
      <w:pPr>
        <w:pBdr>
          <w:top w:val="single" w:color="C9A227" w:sz="6" w:space="10"/>
          <w:bottom w:val="single" w:color="C9A227" w:sz="6" w:space="10"/>
        </w:pBd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PROJECT SPECIFICATION DOCUMENT</w:t>
      </w:r>
    </w:p>
    <w:p>
      <w:pPr>
        <w:spacing w:after="1600"/>
        <w:jc w:val="center"/>
      </w:pPr>
      <w:r>
        <w:rPr>
          <w:rFonts w:ascii="Georgia" w:cs="Georgia" w:eastAsia="Georgia" w:hAnsi="Georgia"/>
          <w:b w:val="false"/>
          <w:bCs w:val="false"/>
          <w:color w:val="595959"/>
          <w:sz w:val="20"/>
          <w:szCs w:val="20"/>
        </w:rPr>
        <w:t xml:space="preserve">Website Build — Single Source of Truth</w:t>
      </w:r>
    </w:p>
    <w:p>
      <w:pPr>
        <w:spacing w:after="60"/>
        <w:jc w:val="center"/>
      </w:pPr>
      <w:r>
        <w:rPr>
          <w:rFonts w:ascii="Georgia" w:cs="Georgia" w:eastAsia="Georgia" w:hAnsi="Georgia"/>
          <w:b w:val="false"/>
          <w:bCs w:val="false"/>
          <w:color w:val="111111"/>
          <w:sz w:val="18"/>
          <w:szCs w:val="18"/>
        </w:rPr>
        <w:t xml:space="preserve">Prepared for: 4 Brothers Security &amp; Guarding — Egypt</w:t>
      </w:r>
    </w:p>
    <w:p>
      <w:pPr>
        <w:spacing w:after="60"/>
        <w:jc w:val="center"/>
      </w:pPr>
      <w:r>
        <w:rPr>
          <w:rFonts w:ascii="Georgia" w:cs="Georgia" w:eastAsia="Georgia" w:hAnsi="Georgia"/>
          <w:b w:val="false"/>
          <w:bCs w:val="false"/>
          <w:color w:val="595959"/>
          <w:sz w:val="18"/>
          <w:szCs w:val="18"/>
        </w:rPr>
        <w:t xml:space="preserve">Version 1.0  ·  July 2026</w:t>
      </w:r>
    </w:p>
    <w:p>
      <w:pPr>
        <w:spacing w:after="40"/>
        <w:jc w:val="center"/>
      </w:pPr>
      <w:r>
        <w:rPr>
          <w:rFonts w:ascii="Georgia" w:cs="Georgia" w:eastAsia="Georgia" w:hAnsi="Georgia"/>
          <w:b w:val="false"/>
          <w:bCs w:val="false"/>
          <w:color w:val="595959"/>
          <w:sz w:val="16"/>
          <w:szCs w:val="16"/>
        </w:rPr>
        <w:t xml:space="preserve">Confidential — Internal &amp; Development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227" w:sz="12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11111"/>
          <w:sz w:val="32"/>
          <w:szCs w:val="32"/>
        </w:rPr>
        <w:t xml:space="preserve">1. Brand Identity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B6F1F"/>
          <w:sz w:val="24"/>
          <w:szCs w:val="24"/>
        </w:rPr>
        <w:t xml:space="preserve">Logo Usage</w:t>
      </w:r>
    </w:p>
    <w:p>
      <w:pPr>
        <w:spacing w:after="120" w:line="3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The 4 Brothers mark is a shield-monogram (“4B”) in gold on a black or deep-charcoal field, paired with the Arabic wordmark فور برذرز and the English wordmark “4 BROTHERS.” A logo file has not yet been supplied — the interim wordmark/emblem built for this spec should be treated as a placeholder until final artwork is approved.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Clear space: minimum padding equal to the height of the shield on all sides.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Minimum size: 32px height in digital contexts; never scale below legibility of the “4B” monogram.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Approved backgrounds: pure black, charcoal (#1A1A1A), or off-white (#F5F0E6)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Never: recolor the gold, add drop shadows/outlines, stretch, rotate, or place on busy photography without a scrim.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B6F1F"/>
          <w:sz w:val="24"/>
          <w:szCs w:val="24"/>
        </w:rPr>
        <w:t xml:space="preserve">Color Palette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450"/>
      </w:tblGrid>
      <w:tr>
        <w:tc>
          <w:tcPr>
            <w:tcW w:type="dxa" w:w="2300"/>
            <w:shd w:fill="0A0A0A" w:val="clear"/>
            <w:tcMar>
              <w:top w:type="dxa" w:w="200"/>
              <w:bottom w:type="dxa" w:w="200"/>
            </w:tcMar>
          </w:tcPr>
          <w:p>
            <w:pPr>
              <w:jc w:val="center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Obsidian Black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#0A0A0A</w:t>
            </w:r>
          </w:p>
        </w:tc>
        <w:tc>
          <w:tcPr>
            <w:tcW w:type="dxa" w:w="2450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Primary background</w:t>
            </w:r>
          </w:p>
        </w:tc>
      </w:tr>
      <w:tr>
        <w:tc>
          <w:tcPr>
            <w:tcW w:type="dxa" w:w="2300"/>
            <w:shd w:fill="1A1A1A" w:val="clear"/>
            <w:tcMar>
              <w:top w:type="dxa" w:w="200"/>
              <w:bottom w:type="dxa" w:w="200"/>
            </w:tcMar>
          </w:tcPr>
          <w:p>
            <w:pPr>
              <w:jc w:val="center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Charcoal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#1A1A1A</w:t>
            </w:r>
          </w:p>
        </w:tc>
        <w:tc>
          <w:tcPr>
            <w:tcW w:type="dxa" w:w="2450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Cards / panels</w:t>
            </w:r>
          </w:p>
        </w:tc>
      </w:tr>
      <w:tr>
        <w:tc>
          <w:tcPr>
            <w:tcW w:type="dxa" w:w="2300"/>
            <w:shd w:fill="C9A227" w:val="clear"/>
            <w:tcMar>
              <w:top w:type="dxa" w:w="200"/>
              <w:bottom w:type="dxa" w:w="200"/>
            </w:tcMar>
          </w:tcPr>
          <w:p>
            <w:pPr>
              <w:jc w:val="center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Signature Gold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#C9A227</w:t>
            </w:r>
          </w:p>
        </w:tc>
        <w:tc>
          <w:tcPr>
            <w:tcW w:type="dxa" w:w="2450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Primary accent, CTAs</w:t>
            </w:r>
          </w:p>
        </w:tc>
      </w:tr>
      <w:tr>
        <w:tc>
          <w:tcPr>
            <w:tcW w:type="dxa" w:w="2300"/>
            <w:shd w:fill="8B6F1F" w:val="clear"/>
            <w:tcMar>
              <w:top w:type="dxa" w:w="200"/>
              <w:bottom w:type="dxa" w:w="200"/>
            </w:tcMar>
          </w:tcPr>
          <w:p>
            <w:pPr>
              <w:jc w:val="center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Deep Bronze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#8B6F1F</w:t>
            </w:r>
          </w:p>
        </w:tc>
        <w:tc>
          <w:tcPr>
            <w:tcW w:type="dxa" w:w="2450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Hover / pressed states</w:t>
            </w:r>
          </w:p>
        </w:tc>
      </w:tr>
      <w:tr>
        <w:tc>
          <w:tcPr>
            <w:tcW w:type="dxa" w:w="2300"/>
            <w:shd w:fill="F5F0E6" w:val="clear"/>
            <w:tcMar>
              <w:top w:type="dxa" w:w="200"/>
              <w:bottom w:type="dxa" w:w="200"/>
            </w:tcMar>
          </w:tcPr>
          <w:p>
            <w:pPr>
              <w:jc w:val="center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Ivory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#F5F0E6</w:t>
            </w:r>
          </w:p>
        </w:tc>
        <w:tc>
          <w:tcPr>
            <w:tcW w:type="dxa" w:w="2450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Primary text on dark</w:t>
            </w:r>
          </w:p>
        </w:tc>
      </w:tr>
      <w:tr>
        <w:tc>
          <w:tcPr>
            <w:tcW w:type="dxa" w:w="2300"/>
            <w:shd w:fill="8A8A8A" w:val="clear"/>
            <w:tcMar>
              <w:top w:type="dxa" w:w="200"/>
              <w:bottom w:type="dxa" w:w="200"/>
            </w:tcMar>
          </w:tcPr>
          <w:p>
            <w:pPr>
              <w:jc w:val="center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Steel Grey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#8A8A8A</w:t>
            </w:r>
          </w:p>
        </w:tc>
        <w:tc>
          <w:tcPr>
            <w:tcW w:type="dxa" w:w="2450"/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Secondary text / captions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Gold is used sparingly — for CTAs, dividers, icon accents, and key numerals — never as a large fill. At least 60% of any screen should read as black/charcoal to preserve the premium, restrained feel.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B6F1F"/>
          <w:sz w:val="24"/>
          <w:szCs w:val="24"/>
        </w:rPr>
        <w:t xml:space="preserve">Typography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37"/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337"/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Arabic</w:t>
            </w:r>
          </w:p>
        </w:tc>
        <w:tc>
          <w:tcPr>
            <w:tcW w:type="dxa" w:w="2337"/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Latin</w:t>
            </w:r>
          </w:p>
        </w:tc>
        <w:tc>
          <w:tcPr>
            <w:tcW w:type="dxa" w:w="2337"/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3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Display</w:t>
            </w:r>
          </w:p>
        </w:tc>
        <w:tc>
          <w:tcPr>
            <w:tcW w:type="dxa" w:w="23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Cairo (SemiBold/Bold)</w:t>
            </w:r>
          </w:p>
        </w:tc>
        <w:tc>
          <w:tcPr>
            <w:tcW w:type="dxa" w:w="23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Marcellus / Cormorant SC</w:t>
            </w:r>
          </w:p>
        </w:tc>
        <w:tc>
          <w:tcPr>
            <w:tcW w:type="dxa" w:w="23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H1s, hero statements</w:t>
            </w:r>
          </w:p>
        </w:tc>
      </w:tr>
      <w:tr>
        <w:tc>
          <w:tcPr>
            <w:tcW w:type="dxa" w:w="23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Body</w:t>
            </w:r>
          </w:p>
        </w:tc>
        <w:tc>
          <w:tcPr>
            <w:tcW w:type="dxa" w:w="23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IBM Plex Sans Arabic</w:t>
            </w:r>
          </w:p>
        </w:tc>
        <w:tc>
          <w:tcPr>
            <w:tcW w:type="dxa" w:w="23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</w:t>
            </w:r>
          </w:p>
        </w:tc>
        <w:tc>
          <w:tcPr>
            <w:tcW w:type="dxa" w:w="23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Paragraphs, UI copy</w:t>
            </w:r>
          </w:p>
        </w:tc>
      </w:tr>
      <w:tr>
        <w:tc>
          <w:tcPr>
            <w:tcW w:type="dxa" w:w="23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Utility</w:t>
            </w:r>
          </w:p>
        </w:tc>
        <w:tc>
          <w:tcPr>
            <w:tcW w:type="dxa" w:w="23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Cairo (Medium)</w:t>
            </w:r>
          </w:p>
        </w:tc>
        <w:tc>
          <w:tcPr>
            <w:tcW w:type="dxa" w:w="23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 (Medium)</w:t>
            </w:r>
          </w:p>
        </w:tc>
        <w:tc>
          <w:tcPr>
            <w:tcW w:type="dxa" w:w="23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Labels, nav, captions, forms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Arabic is the primary reading language; all layouts are RTL-first with English as a mirrored secondary experience, not an afterthought. Line-height for Arabic body copy should be generous (1.7–1.9) to preserve diacritic and descender clarity at small sizes.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B6F1F"/>
          <w:sz w:val="24"/>
          <w:szCs w:val="24"/>
        </w:rPr>
        <w:t xml:space="preserve">Brand Personality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Authoritative, not aggressive — the confidence of a company that has already been vetted, not one trying to prove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Precise — numbers, certifications, and response times are stated plainly, never vaguely.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Discreet luxury — restraint over ornamentation; gold marks importance, it doesn’t decorate.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Human accountability — the name “4 Brothers” implies a family standing behind every contract; copy should feel personally guaranteed, not corporate-anonymous.</w:t>
      </w:r>
    </w:p>
    <w:p>
      <w:r>
        <w:br w:type="page"/>
      </w:r>
    </w:p>
    <w:p>
      <w:pPr>
        <w:pStyle w:val="Heading1"/>
        <w:pBdr>
          <w:bottom w:val="single" w:color="C9A227" w:sz="12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11111"/>
          <w:sz w:val="32"/>
          <w:szCs w:val="32"/>
        </w:rPr>
        <w:t xml:space="preserve">2. Website Goals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16"/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116"/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116"/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Success Metric</w:t>
            </w:r>
          </w:p>
        </w:tc>
      </w:tr>
      <w:tr>
        <w:tc>
          <w:tcPr>
            <w:tcW w:type="dxa" w:w="311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11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 qualified B2B security &amp; guarding contract inquiries</w:t>
            </w:r>
          </w:p>
        </w:tc>
        <w:tc>
          <w:tcPr>
            <w:tcW w:type="dxa" w:w="311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Quote Request submissions from verified companies</w:t>
            </w:r>
          </w:p>
        </w:tc>
      </w:tr>
      <w:tr>
        <w:tc>
          <w:tcPr>
            <w:tcW w:type="dxa" w:w="311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11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institutional trust quickly with risk-averse buyers</w:t>
            </w:r>
          </w:p>
        </w:tc>
        <w:tc>
          <w:tcPr>
            <w:tcW w:type="dxa" w:w="311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 on Services/Industries pages, certification views</w:t>
            </w:r>
          </w:p>
        </w:tc>
      </w:tr>
      <w:tr>
        <w:tc>
          <w:tcPr>
            <w:tcW w:type="dxa" w:w="311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11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Convert visits into quote requests</w:t>
            </w:r>
          </w:p>
        </w:tc>
        <w:tc>
          <w:tcPr>
            <w:tcW w:type="dxa" w:w="311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Quote form completion rate</w:t>
            </w:r>
          </w:p>
        </w:tc>
      </w:tr>
      <w:tr>
        <w:tc>
          <w:tcPr>
            <w:tcW w:type="dxa" w:w="311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11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 recruitment of guards &amp; business development officers</w:t>
            </w:r>
          </w:p>
        </w:tc>
        <w:tc>
          <w:tcPr>
            <w:tcW w:type="dxa" w:w="311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Careers applications submitted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12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11111"/>
          <w:sz w:val="32"/>
          <w:szCs w:val="32"/>
        </w:rPr>
        <w:t xml:space="preserve">3. Target Audience</w:t>
      </w:r>
    </w:p>
    <w:p>
      <w:pPr>
        <w:pStyle w:val="Heading2"/>
        <w:spacing w:after="120" w:before="300"/>
      </w:pPr>
      <w:r>
        <w:rPr>
          <w:rFonts w:ascii="Georgia" w:cs="Georgia" w:eastAsia="Georgia" w:hAnsi="Georgia"/>
          <w:b/>
          <w:bCs/>
          <w:color w:val="8B6F1F"/>
          <w:sz w:val="24"/>
          <w:szCs w:val="24"/>
        </w:rPr>
        <w:t xml:space="preserve">B2B Decision-Makers 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Factories &amp; industrial facilities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Hospitals &amp; healthcare facilities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Hotels &amp; hospitality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Residential compounds &amp; gated communities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Commercial buildings &amp; corporate campuses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Warehouses &amp; logistics/distribution centers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Educational institutions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Government facilities</w:t>
      </w:r>
    </w:p>
    <w:p>
      <w:pPr>
        <w:spacing w:after="120" w:line="3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These are risk-averse, procurement-driven buyers (facilities managers, compliance officers, owners). They compare vendors on licensing, insurance, guard training, response protocols, and references — not on design flourish. Content must lead with credibility signals before persuasion.</w:t>
      </w:r>
    </w:p>
    <w:p>
      <w:r>
        <w:br w:type="page"/>
      </w:r>
    </w:p>
    <w:p>
      <w:pPr>
        <w:pStyle w:val="Heading1"/>
        <w:pBdr>
          <w:bottom w:val="single" w:color="C9A227" w:sz="12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11111"/>
          <w:sz w:val="32"/>
          <w:szCs w:val="32"/>
        </w:rPr>
        <w:t xml:space="preserve">4. Website Structure (Sitemap)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5300"/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Job</w:t>
            </w:r>
          </w:p>
        </w:tc>
        <w:tc>
          <w:tcPr>
            <w:tcW w:type="dxa" w:w="2250"/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CTA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5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Establish authority in 5 seconds; route to Services or Quote</w:t>
            </w:r>
          </w:p>
        </w:tc>
        <w:tc>
          <w:tcPr>
            <w:tcW w:type="dxa" w:w="22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 a Quote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</w:t>
            </w:r>
          </w:p>
        </w:tc>
        <w:tc>
          <w:tcPr>
            <w:tcW w:type="dxa" w:w="5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Prove legitimacy — history, licensing, leadership, values</w:t>
            </w:r>
          </w:p>
        </w:tc>
        <w:tc>
          <w:tcPr>
            <w:tcW w:type="dxa" w:w="22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Meet Our Team / Request a Quote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Services</w:t>
            </w:r>
          </w:p>
        </w:tc>
        <w:tc>
          <w:tcPr>
            <w:tcW w:type="dxa" w:w="5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Explain guarding service lines in operational detail</w:t>
            </w:r>
          </w:p>
        </w:tc>
        <w:tc>
          <w:tcPr>
            <w:tcW w:type="dxa" w:w="22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 a Quote for this Service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Industries</w:t>
            </w:r>
          </w:p>
        </w:tc>
        <w:tc>
          <w:tcPr>
            <w:tcW w:type="dxa" w:w="5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 sector-specific expertise &amp; relevant case proof</w:t>
            </w:r>
          </w:p>
        </w:tc>
        <w:tc>
          <w:tcPr>
            <w:tcW w:type="dxa" w:w="22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Talk to a Specialist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Careers</w:t>
            </w:r>
          </w:p>
        </w:tc>
        <w:tc>
          <w:tcPr>
            <w:tcW w:type="dxa" w:w="5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Attract vetted guards &amp; BD officers; filter unqualified applicants</w:t>
            </w:r>
          </w:p>
        </w:tc>
        <w:tc>
          <w:tcPr>
            <w:tcW w:type="dxa" w:w="22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Apply Now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Request Quote</w:t>
            </w:r>
          </w:p>
        </w:tc>
        <w:tc>
          <w:tcPr>
            <w:tcW w:type="dxa" w:w="5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Capture qualified contract leads with minimum friction</w:t>
            </w:r>
          </w:p>
        </w:tc>
        <w:tc>
          <w:tcPr>
            <w:tcW w:type="dxa" w:w="22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Submit Request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</w:t>
            </w:r>
          </w:p>
        </w:tc>
        <w:tc>
          <w:tcPr>
            <w:tcW w:type="dxa" w:w="53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Provide direct, human contact channels &amp; office locations</w:t>
            </w:r>
          </w:p>
        </w:tc>
        <w:tc>
          <w:tcPr>
            <w:tcW w:type="dxa" w:w="22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Call / WhatsApp / Email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12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11111"/>
          <w:sz w:val="32"/>
          <w:szCs w:val="32"/>
        </w:rPr>
        <w:t xml:space="preserve">5. UI/UX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Dark luxury theme: obsidian/charcoal base, gold used only for emphasis, never as a dominant fill.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Black &amp; Gold system enforced across all components — no secondary brand colors introduced without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Clean, generous layouts: minimum 96px section padding on desktop, 48px on mobile; no crowded panels.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Mobile-first: every component is designed at 375px width first, then progressively enhanced upward.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Smooth, restrained animation: 200–400ms ease-out transitions, scroll-reveals used once per section max, no more than one animated element in view at a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Fast loading: target Lighthouse Performance ≥ 90; hero media compressed/served responsively; fonts subset for Arabic + Latin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RTL is the default document direction (dir="rtl", lang="ar"); English is a fully mirrored layout, not a translated copy of the LTR grid.</w:t>
      </w:r>
    </w:p>
    <w:p>
      <w:r>
        <w:br w:type="page"/>
      </w:r>
    </w:p>
    <w:p>
      <w:pPr>
        <w:pStyle w:val="Heading1"/>
        <w:pBdr>
          <w:bottom w:val="single" w:color="C9A227" w:sz="12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11111"/>
          <w:sz w:val="32"/>
          <w:szCs w:val="32"/>
        </w:rPr>
        <w:t xml:space="preserve">6. Core Components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100"/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7250"/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Navbar</w:t>
            </w:r>
          </w:p>
        </w:tc>
        <w:tc>
          <w:tcPr>
            <w:tcW w:type="dxa" w:w="72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Sticky, transparent-to-solid on scroll, logo right-aligned in RTL, language switch (AR/EN), gold underline on active link</w:t>
            </w:r>
          </w:p>
        </w:tc>
      </w:tr>
      <w:tr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Hero</w:t>
            </w:r>
          </w:p>
        </w:tc>
        <w:tc>
          <w:tcPr>
            <w:tcW w:type="dxa" w:w="72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Full-viewport, single authoritative statement, trust markers (licensing/response time) visible without scrolling</w:t>
            </w:r>
          </w:p>
        </w:tc>
      </w:tr>
      <w:tr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 Cards</w:t>
            </w:r>
          </w:p>
        </w:tc>
        <w:tc>
          <w:tcPr>
            <w:tcW w:type="dxa" w:w="72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Icon + title + one-line operational description + “Request Quote” micro-CTA; equal height grid</w:t>
            </w:r>
          </w:p>
        </w:tc>
      </w:tr>
      <w:tr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Statistics</w:t>
            </w:r>
          </w:p>
        </w:tc>
        <w:tc>
          <w:tcPr>
            <w:tcW w:type="dxa" w:w="72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3–4 counted metrics (years active, guards deployed, sites protected, response time) with count-up animation on view</w:t>
            </w:r>
          </w:p>
        </w:tc>
      </w:tr>
      <w:tr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Testimonials</w:t>
            </w:r>
          </w:p>
        </w:tc>
        <w:tc>
          <w:tcPr>
            <w:tcW w:type="dxa" w:w="72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Company name + role + quote; logos of client companies where permitted; auto-rotate with manual controls</w:t>
            </w:r>
          </w:p>
        </w:tc>
      </w:tr>
      <w:tr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FAQ</w:t>
            </w:r>
          </w:p>
        </w:tc>
        <w:tc>
          <w:tcPr>
            <w:tcW w:type="dxa" w:w="72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Accordion, one item open at a time, covers licensing/insurance/staffing/contracts questions</w:t>
            </w:r>
          </w:p>
        </w:tc>
      </w:tr>
      <w:tr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Quote Form</w:t>
            </w:r>
          </w:p>
        </w:tc>
        <w:tc>
          <w:tcPr>
            <w:tcW w:type="dxa" w:w="72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Company name, industry, site type, number of guards/hours, contact info, message; inline validation, single-column on mobile</w:t>
            </w:r>
          </w:p>
        </w:tc>
      </w:tr>
      <w:tr>
        <w:tc>
          <w:tcPr>
            <w:tcW w:type="dxa" w:w="21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Footer</w:t>
            </w:r>
          </w:p>
        </w:tc>
        <w:tc>
          <w:tcPr>
            <w:tcW w:type="dxa" w:w="72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sitemap, licensing/registration numbers, social + WhatsApp, office addresses, legal links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12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11111"/>
          <w:sz w:val="32"/>
          <w:szCs w:val="32"/>
        </w:rPr>
        <w:t xml:space="preserve">7. Content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Lead every page with the credibility fact most relevant to that page (licensing, years of operation, guard count) before any persuasive language.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Write in plain, declarative Arabic; avoid marketing clichés (“best-in-class,” “world-class”) in favor of specific, checkable claims.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Every service description states: what it is, who it’s for, and how engagement starts — in that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CTAs are always active-voice and specific: “Request a Guarding Quote,” never “Learn More.”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English copy is a full editorial pass for an English B2B reader, not a literal translation of the Arabic.</w:t>
      </w:r>
    </w:p>
    <w:p>
      <w:pPr>
        <w:pStyle w:val="Heading1"/>
        <w:pBdr>
          <w:bottom w:val="single" w:color="C9A227" w:sz="12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11111"/>
          <w:sz w:val="32"/>
          <w:szCs w:val="32"/>
        </w:rPr>
        <w:t xml:space="preserve">8. SEO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Primary keyword targets (AR): شركة حراسات في مصر, حراسة مصانع, حراسة مستشفيات, أمن مجمعات سكنية.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Primary keyword targets (EN): security company Egypt, manned guarding Egypt, corporate security services Cairo.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Unique, descriptive &lt;title&gt; and meta description per page in both languages; hreflang tags linking ar/en versions.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Semantic heading hierarchy (single H1 per page); schema.org LocalBusiness + Organization markup with licensing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Descriptive alt text on all imagery; compressed WebP/AVIF assets; clean, human-readable URL slugs in both languages.</w:t>
      </w:r>
    </w:p>
    <w:p>
      <w:r>
        <w:br w:type="page"/>
      </w:r>
    </w:p>
    <w:p>
      <w:pPr>
        <w:pStyle w:val="Heading1"/>
        <w:pBdr>
          <w:bottom w:val="single" w:color="C9A227" w:sz="12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11111"/>
          <w:sz w:val="32"/>
          <w:szCs w:val="32"/>
        </w:rPr>
        <w:t xml:space="preserve">9. Technical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550"/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7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Semantic HTML5 + modern CSS (Grid/Flexbox, custom properties) + vanilla JS (or React if the team prefers component reuse)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Styling</w:t>
            </w:r>
          </w:p>
        </w:tc>
        <w:tc>
          <w:tcPr>
            <w:tcW w:type="dxa" w:w="7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Design-token based CSS (colors, type scale, spacing scale as custom properties); no heavy UI framework needed for this scope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Fonts</w:t>
            </w:r>
          </w:p>
        </w:tc>
        <w:tc>
          <w:tcPr>
            <w:tcW w:type="dxa" w:w="7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Self-hosted, subset Cairo / IBM Plex Sans Arabic + Inter / Marcellus, woff2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Forms</w:t>
            </w:r>
          </w:p>
        </w:tc>
        <w:tc>
          <w:tcPr>
            <w:tcW w:type="dxa" w:w="7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Quote &amp; Careers forms post to a backend endpoint or form service (e.g. serverless function / email API) with server-side validation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Hosting</w:t>
            </w:r>
          </w:p>
        </w:tc>
        <w:tc>
          <w:tcPr>
            <w:tcW w:type="dxa" w:w="7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Static hosting/CDN (e.g. Vercel, Netlify, or standard VPS + Nginx) with HTTPS by default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Analytics</w:t>
            </w:r>
          </w:p>
        </w:tc>
        <w:tc>
          <w:tcPr>
            <w:tcW w:type="dxa" w:w="7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Privacy-respecting analytics (e.g. GA4 or Plausible) plus conversion tracking on Quote and Careers submissions</w:t>
            </w:r>
          </w:p>
        </w:tc>
      </w:tr>
    </w:tbl>
    <w:p>
      <w:pPr>
        <w:pStyle w:val="Heading1"/>
        <w:pBdr>
          <w:bottom w:val="single" w:color="C9A227" w:sz="12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11111"/>
          <w:sz w:val="32"/>
          <w:szCs w:val="32"/>
        </w:rPr>
        <w:t xml:space="preserve">10. Development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Build mobile-first; every component must be verified at 375px, 768px, 1024px, and 1440px before being marked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RTL is the default build direction; do not mirror via CSS transform hacks — build logical properties (margin-inline, etc.) from the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No placeholder Lorem Ipsum in any delivered page — use real or brief-accurate draft copy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Every interactive element must have a visible keyboard focus state and meet WCAG AA contrast (4.5:1 body text on backgrounds).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Each page ships production-ready: no console errors, no unused component libraries, images optimized, and Lighthouse Performance/Accessibility ≥ 90 before sign-off.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Pages are built and reviewed in this order: Home → About → Services → Industries → Careers → Contact, with shared components (navbar, footer, buttons, cards) built once and reused, never duplicated with drift.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4 Brothers Security &amp; Guarding — Project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2026-07-06T01:35:55.767Z</dcterms:created>
  <dcterms:modified xsi:type="dcterms:W3CDTF">2026-07-06T01:35:55.767Z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