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W15] 기말 — APT 캠페인 전체를 SOC 전 역량으로 분석·대응하기(수료)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관제의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 xml:space="preserve">. 한 </w:t>
      </w:r>
      <w:r>
        <w:rPr>
          <w:rFonts w:ascii="맑은 고딕" w:hAnsi="맑은 고딕" w:eastAsia="맑은 고딕"/>
          <w:b/>
          <w:sz w:val="21"/>
        </w:rPr>
        <w:t>APT 캠페인</w:t>
      </w:r>
      <w:r>
        <w:rPr>
          <w:rFonts w:ascii="맑은 고딕" w:hAnsi="맑은 고딕" w:eastAsia="맑은 고딕"/>
          <w:sz w:val="21"/>
        </w:rPr>
        <w:t>이 5단계 킬체인으로 들어온다 — 정찰 → 침투 → 호스트 발판 →</w:t>
      </w:r>
      <w:r>
        <w:br/>
      </w:r>
      <w:r>
        <w:rPr>
          <w:rFonts w:ascii="맑은 고딕" w:hAnsi="맑은 고딕" w:eastAsia="맑은 고딕"/>
          <w:sz w:val="21"/>
        </w:rPr>
        <w:t xml:space="preserve">C2/유출 → (대응). 14주 동안 배운 </w:t>
      </w:r>
      <w:r>
        <w:rPr>
          <w:rFonts w:ascii="맑은 고딕" w:hAnsi="맑은 고딕" w:eastAsia="맑은 고딕"/>
          <w:b/>
          <w:sz w:val="21"/>
        </w:rPr>
        <w:t>SOC 분석가의 전 역량</w:t>
      </w:r>
      <w:r>
        <w:rPr>
          <w:rFonts w:ascii="맑은 고딕" w:hAnsi="맑은 고딕" w:eastAsia="맑은 고딕"/>
          <w:sz w:val="21"/>
        </w:rPr>
        <w:t>을 하나의 사건에 동원한다: ① 다소스 탐지와</w:t>
      </w:r>
      <w:r>
        <w:br/>
      </w:r>
      <w:r>
        <w:rPr>
          <w:rFonts w:ascii="맑은 고딕" w:hAnsi="맑은 고딕" w:eastAsia="맑은 고딕"/>
          <w:sz w:val="21"/>
        </w:rPr>
        <w:t>SIGMA 룰, ② ATT&amp;CK kill chain 매핑, ③ IR 6단계 대응, ④ 위협 인텔(CTI) 활용, ⑤ 자동화와 종합 IR</w:t>
      </w:r>
      <w:r>
        <w:br/>
      </w:r>
      <w:r>
        <w:rPr>
          <w:rFonts w:ascii="맑은 고딕" w:hAnsi="맑은 고딕" w:eastAsia="맑은 고딕"/>
          <w:sz w:val="21"/>
        </w:rPr>
        <w:t>보고서.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정찰로 표면을 훑고, 웹으로 침투하고, 호스트에 C2 채널과 백도어 계정을 심는다. 관제자(너)는</w:t>
      </w:r>
      <w:r>
        <w:br/>
      </w:r>
      <w:r>
        <w:rPr>
          <w:rFonts w:ascii="맑은 고딕" w:hAnsi="맑은 고딕" w:eastAsia="맑은 고딕"/>
          <w:sz w:val="21"/>
        </w:rPr>
        <w:t>탐지룰로 잡고, ATT&amp;CK으로 매핑하고, IR 절차로 대응하고, IOC를 운영화하고, 전체를 보고서로 종합한다.</w:t>
      </w:r>
    </w:p>
    <w:p>
      <w:r>
        <w:rPr>
          <w:rFonts w:ascii="맑은 고딕" w:hAnsi="맑은 고딕" w:eastAsia="맑은 고딕"/>
          <w:sz w:val="21"/>
        </w:rPr>
        <w:t>▸ 모드: solo(APT 공격자→종합 관제자) / duel(상대 APT→본인 종합 대응).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단계 독립 채점. 마커: 웹 침투 태그 </w:t>
      </w:r>
      <w:r>
        <w:rPr>
          <w:rFonts w:ascii="맑은 고딕" w:hAnsi="맑은 고딕" w:eastAsia="맑은 고딕"/>
          <w:b/>
          <w:sz w:val="21"/>
        </w:rPr>
        <w:t>`soc15r1-&lt;id&gt;`</w:t>
      </w:r>
      <w:r>
        <w:rPr>
          <w:rFonts w:ascii="맑은 고딕" w:hAnsi="맑은 고딕" w:eastAsia="맑은 고딕"/>
          <w:sz w:val="21"/>
        </w:rPr>
        <w:t xml:space="preserve">, C2 리스너 </w:t>
      </w:r>
      <w:r>
        <w:rPr>
          <w:rFonts w:ascii="맑은 고딕" w:hAnsi="맑은 고딕" w:eastAsia="맑은 고딕"/>
          <w:b/>
          <w:sz w:val="21"/>
        </w:rPr>
        <w:t>포트 53535</w:t>
      </w:r>
      <w:r>
        <w:rPr>
          <w:rFonts w:ascii="맑은 고딕" w:hAnsi="맑은 고딕" w:eastAsia="맑은 고딕"/>
          <w:sz w:val="21"/>
        </w:rPr>
        <w:t>, 백도어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`aptsoc`</w:t>
      </w:r>
      <w:r>
        <w:rPr>
          <w:rFonts w:ascii="맑은 고딕" w:hAnsi="맑은 고딕" w:eastAsia="맑은 고딕"/>
          <w:sz w:val="21"/>
        </w:rPr>
        <w:t xml:space="preserve">, IDS 룰 </w:t>
      </w:r>
      <w:r>
        <w:rPr>
          <w:rFonts w:ascii="맑은 고딕" w:hAnsi="맑은 고딕" w:eastAsia="맑은 고딕"/>
          <w:b/>
          <w:sz w:val="21"/>
        </w:rPr>
        <w:t>sid 9515015</w:t>
      </w:r>
      <w:r>
        <w:rPr>
          <w:rFonts w:ascii="맑은 고딕" w:hAnsi="맑은 고딕" w:eastAsia="맑은 고딕"/>
          <w:sz w:val="21"/>
        </w:rPr>
        <w:t xml:space="preserve">(Suricata), 인텔 룰 </w:t>
      </w:r>
      <w:r>
        <w:rPr>
          <w:rFonts w:ascii="맑은 고딕" w:hAnsi="맑은 고딕" w:eastAsia="맑은 고딕"/>
          <w:b/>
          <w:sz w:val="21"/>
        </w:rPr>
        <w:t>id 101515</w:t>
      </w:r>
      <w:r>
        <w:rPr>
          <w:rFonts w:ascii="맑은 고딕" w:hAnsi="맑은 고딕" w:eastAsia="맑은 고딕"/>
          <w:sz w:val="21"/>
        </w:rPr>
        <w:t>(Wazuh). 끝나면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[1·2단계] — 정찰 → 웹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1·2단계. 스캐너로 정찰하고 SQLi로 침투한다.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soc15r1-&lt;id&gt;</w:t>
      </w:r>
      <w:r>
        <w:rPr>
          <w:rFonts w:ascii="맑은 고딕" w:hAnsi="맑은 고딕" w:eastAsia="맑은 고딕"/>
          <w:sz w:val="21"/>
        </w:rPr>
        <w:t>를 붙여 sqlmap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"http://192.168.0.161/?id=soc15r1-kim-1%20UNION%20SELECT%201"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(soc15r1 태그 포함) 침투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soc15r1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[3·4단계] — 호스트 발판 → C2 채널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3·4단계. 백도어 계정(</w:t>
      </w:r>
      <w:r>
        <w:rPr>
          <w:rFonts w:ascii="맑은 고딕" w:hAnsi="맑은 고딕" w:eastAsia="맑은 고딕"/>
          <w:b/>
          <w:sz w:val="21"/>
        </w:rPr>
        <w:t>aptsoc</w:t>
      </w:r>
      <w:r>
        <w:rPr>
          <w:rFonts w:ascii="맑은 고딕" w:hAnsi="맑은 고딕" w:eastAsia="맑은 고딕"/>
          <w:sz w:val="21"/>
        </w:rPr>
        <w:t>)으로 지속성을 확보하고 C2 리스너(</w:t>
      </w:r>
      <w:r>
        <w:rPr>
          <w:rFonts w:ascii="맑은 고딕" w:hAnsi="맑은 고딕" w:eastAsia="맑은 고딕"/>
          <w:b/>
          <w:sz w:val="21"/>
        </w:rPr>
        <w:t>포트 53535</w:t>
      </w:r>
      <w:r>
        <w:rPr>
          <w:rFonts w:ascii="맑은 고딕" w:hAnsi="맑은 고딕" w:eastAsia="맑은 고딕"/>
          <w:sz w:val="21"/>
        </w:rPr>
        <w:t>)로 지휘통제/</w:t>
      </w:r>
      <w:r>
        <w:br/>
      </w:r>
      <w:r>
        <w:rPr>
          <w:rFonts w:ascii="맑은 고딕" w:hAnsi="맑은 고딕" w:eastAsia="맑은 고딕"/>
          <w:sz w:val="21"/>
        </w:rPr>
        <w:t>유출 채널을 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와 리스너 포트 53535를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aptsoc</w:t>
        <w:br/>
        <w:t>nohup ncat -lk 53535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53535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53535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aptsoc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[탐지] — SIGMA/Suricata 탐지룰 (sid 9515015)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APT의 정찰/침투를 탐지하는 룰(</w:t>
      </w:r>
      <w:r>
        <w:rPr>
          <w:rFonts w:ascii="맑은 고딕" w:hAnsi="맑은 고딕" w:eastAsia="맑은 고딕"/>
          <w:b/>
          <w:sz w:val="21"/>
        </w:rPr>
        <w:t>sid 9515015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작성한다(SIGMA로 기술 후 변환).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(msg:"SOC15 APT sqlmap recon"; http.user_agent; content:"sqlmap"; nocase; fast_pattern; sid:9515015;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9515015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9515015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[ATT&amp;CK] — kill chain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수집된 경보를 ATT&amp;CK kill chain 단계(Recon→Initial Access→Execution→C2→Exfil)로 매핑해 APT</w:t>
      </w:r>
      <w:r>
        <w:br/>
      </w:r>
      <w:r>
        <w:rPr>
          <w:rFonts w:ascii="맑은 고딕" w:hAnsi="맑은 고딕" w:eastAsia="맑은 고딕"/>
          <w:sz w:val="21"/>
        </w:rPr>
        <w:t>캠페인의 전모를 재구성한다.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kill chain 단계로 매핑하고 캠페인을 재구성한다.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다단계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[IR 6단계] — persistence 헌팅 + 격리/제거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IR 6단계를 적용한다. RED-2의 C2(53535)·persistence(aptsoc)를 헌팅해 격리·제거하고 서비스를</w:t>
      </w:r>
      <w:r>
        <w:br/>
      </w:r>
      <w:r>
        <w:rPr>
          <w:rFonts w:ascii="맑은 고딕" w:hAnsi="맑은 고딕" w:eastAsia="맑은 고딕"/>
          <w:sz w:val="21"/>
        </w:rPr>
        <w:t>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헌팅해 C2/persistence를 찾고 IR 절차(식별→격리→제거→복구)를 적용한다.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persistence(aptsoc) 또는 C2(53535)가 헌팅되는지로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aptsoc 또는 포트 53535 listening(식별 후 제거).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[CTI+자동화] — IOC Wazuh 룰 + Active Response (id 101515)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 APT의 IOC(C2 포트/도구 시그니처)를 Wazuh 룰(</w:t>
      </w:r>
      <w:r>
        <w:rPr>
          <w:rFonts w:ascii="맑은 고딕" w:hAnsi="맑은 고딕" w:eastAsia="맑은 고딕"/>
          <w:b/>
          <w:sz w:val="21"/>
        </w:rPr>
        <w:t>id 101515</w:t>
      </w:r>
      <w:r>
        <w:rPr>
          <w:rFonts w:ascii="맑은 고딕" w:hAnsi="맑은 고딕" w:eastAsia="맑은 고딕"/>
          <w:sz w:val="21"/>
        </w:rPr>
        <w:t>)로 격상해 재발 시 자동 고위험 탐지</w:t>
      </w:r>
      <w:r>
        <w:br/>
      </w:r>
      <w:r>
        <w:rPr>
          <w:rFonts w:ascii="맑은 고딕" w:hAnsi="맑은 고딕" w:eastAsia="맑은 고딕"/>
          <w:sz w:val="21"/>
        </w:rPr>
        <w:t>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IOC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id="101515" level="13"&gt;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W15 - APT known tool IOC,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101515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101515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[보고·수료] — 종합 IR 보고서 + 회고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수료의 산출물 — APT 5단계 전체를 SIEM 한 화면으로 종합하고 </w:t>
      </w:r>
      <w:r>
        <w:rPr>
          <w:rFonts w:ascii="맑은 고딕" w:hAnsi="맑은 고딕" w:eastAsia="맑은 고딕"/>
          <w:b/>
          <w:sz w:val="21"/>
        </w:rPr>
        <w:t>IR 보고서</w:t>
      </w:r>
      <w:r>
        <w:rPr>
          <w:rFonts w:ascii="맑은 고딕" w:hAnsi="맑은 고딕" w:eastAsia="맑은 고딕"/>
          <w:sz w:val="21"/>
        </w:rPr>
        <w:t>(타임라인/단계별 탐지·</w:t>
      </w:r>
      <w:r>
        <w:br/>
      </w:r>
      <w:r>
        <w:rPr>
          <w:rFonts w:ascii="맑은 고딕" w:hAnsi="맑은 고딕" w:eastAsia="맑은 고딕"/>
          <w:sz w:val="21"/>
        </w:rPr>
        <w:t>대응 근거/ATT&amp;CK/권고)를 작성한다. Red/Blue/Purple 회고로 개선점을 도출하고, 실습 룰·아티팩트</w:t>
      </w:r>
      <w:r>
        <w:br/>
      </w:r>
      <w:r>
        <w:rPr>
          <w:rFonts w:ascii="맑은 고딕" w:hAnsi="맑은 고딕" w:eastAsia="맑은 고딕"/>
          <w:sz w:val="21"/>
        </w:rPr>
        <w:t xml:space="preserve">(9515015/101515/aptsoc/53535)를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>한다. 14주 SOC 관제의 종합이자 수료.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SIEM 수렴 확인 + IR 보고서 + R/B/P 회고 + 일괄 cleanup.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다단계 경보가 수렴했는지 + 보고서/회고/cleanup(제출)으로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다단계 경보가 수렴해 있다(+ 보고서/회고/cleanup은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