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[컴플라이언스 W5] GDPR Article 32 — 미암호화·PII 노출 vs 암호화·책임추적 통제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compliance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컴플라이언스 5주차 — </w:t>
      </w:r>
      <w:r>
        <w:rPr>
          <w:rFonts w:ascii="맑은 고딕" w:hAnsi="맑은 고딕" w:eastAsia="맑은 고딕"/>
          <w:b/>
          <w:sz w:val="21"/>
        </w:rPr>
        <w:t>GDPR Article 32 기술적 보호조치</w:t>
      </w:r>
      <w:r>
        <w:rPr>
          <w:rFonts w:ascii="맑은 고딕" w:hAnsi="맑은 고딕" w:eastAsia="맑은 고딕"/>
          <w:sz w:val="21"/>
        </w:rPr>
        <w:t>. 저장/전송 데이터 암호화·지속적 보안 보장·가용성</w:t>
      </w:r>
      <w:r>
        <w:br/>
      </w:r>
      <w:r>
        <w:rPr>
          <w:rFonts w:ascii="맑은 고딕" w:hAnsi="맑은 고딕" w:eastAsia="맑은 고딕"/>
          <w:sz w:val="21"/>
        </w:rPr>
        <w:t>복원·책임추적성(accountability)을 요구한다. 공격자는 미암호화/PII 노출을 악용하고, 감사자(너)는 암호화·자동</w:t>
      </w:r>
      <w:r>
        <w:br/>
      </w:r>
      <w:r>
        <w:rPr>
          <w:rFonts w:ascii="맑은 고딕" w:hAnsi="맑은 고딕" w:eastAsia="맑은 고딕"/>
          <w:sz w:val="21"/>
        </w:rPr>
        <w:t>차단·감사추적 통제를 구현하고 충족을 증적으로 입증한다.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미암호화 전송/노출된 개인 데이터를 노려 침투하고(태그 </w:t>
      </w:r>
      <w:r>
        <w:rPr>
          <w:rFonts w:ascii="Consolas" w:hAnsi="Consolas"/>
          <w:sz w:val="20"/>
        </w:rPr>
        <w:t>co05r1</w:t>
      </w:r>
      <w:r>
        <w:rPr>
          <w:rFonts w:ascii="맑은 고딕" w:hAnsi="맑은 고딕" w:eastAsia="맑은 고딕"/>
          <w:sz w:val="21"/>
        </w:rPr>
        <w:t>), PII 잔존 파일(</w:t>
      </w:r>
      <w:r>
        <w:rPr>
          <w:rFonts w:ascii="Consolas" w:hAnsi="Consolas"/>
          <w:sz w:val="20"/>
        </w:rPr>
        <w:t>/tmp/.co05pii</w:t>
      </w:r>
      <w:r>
        <w:rPr>
          <w:rFonts w:ascii="맑은 고딕" w:hAnsi="맑은 고딕" w:eastAsia="맑은 고딕"/>
          <w:sz w:val="21"/>
        </w:rPr>
        <w:t>)과</w:t>
      </w:r>
      <w:r>
        <w:br/>
      </w:r>
      <w:r>
        <w:rPr>
          <w:rFonts w:ascii="맑은 고딕" w:hAnsi="맑은 고딕" w:eastAsia="맑은 고딕"/>
          <w:sz w:val="21"/>
        </w:rPr>
        <w:t xml:space="preserve">계정 </w:t>
      </w:r>
      <w:r>
        <w:rPr>
          <w:rFonts w:ascii="Consolas" w:hAnsi="Consolas"/>
          <w:sz w:val="20"/>
        </w:rPr>
        <w:t>compa05</w:t>
      </w:r>
      <w:r>
        <w:rPr>
          <w:rFonts w:ascii="맑은 고딕" w:hAnsi="맑은 고딕" w:eastAsia="맑은 고딕"/>
          <w:sz w:val="21"/>
        </w:rPr>
        <w:t xml:space="preserve"> 를 남긴다. 감사자는 ① 지속적 보안(자동 차단) 통제, ② 감사추적(accountability) 룰, ③ GDPR</w:t>
      </w:r>
      <w:r>
        <w:br/>
      </w:r>
      <w:r>
        <w:rPr>
          <w:rFonts w:ascii="맑은 고딕" w:hAnsi="맑은 고딕" w:eastAsia="맑은 고딕"/>
          <w:sz w:val="21"/>
        </w:rPr>
        <w:t>Art.32 종합 점검·증적으로 대응한다.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PII 노출 악용(자기 인프라 표적)과 통제 구현을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인프라의 PII 를 악용, Blue 는 자기 인프라에 통제 구현.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악용 태그 </w:t>
      </w:r>
      <w:r>
        <w:rPr>
          <w:rFonts w:ascii="맑은 고딕" w:hAnsi="맑은 고딕" w:eastAsia="맑은 고딕"/>
          <w:b/>
          <w:sz w:val="21"/>
        </w:rPr>
        <w:t>`co05r1-&lt;본인id&gt;`</w:t>
      </w:r>
      <w:r>
        <w:rPr>
          <w:rFonts w:ascii="맑은 고딕" w:hAnsi="맑은 고딕" w:eastAsia="맑은 고딕"/>
          <w:sz w:val="21"/>
        </w:rPr>
        <w:t xml:space="preserve">, 잔존 PII </w:t>
      </w:r>
      <w:r>
        <w:rPr>
          <w:rFonts w:ascii="맑은 고딕" w:hAnsi="맑은 고딕" w:eastAsia="맑은 고딕"/>
          <w:b/>
          <w:sz w:val="21"/>
        </w:rPr>
        <w:t>`/tmp/.co05pii`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co05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`compa05`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지속보안 룰 </w:t>
      </w:r>
      <w:r>
        <w:rPr>
          <w:rFonts w:ascii="맑은 고딕" w:hAnsi="맑은 고딕" w:eastAsia="맑은 고딕"/>
          <w:b/>
          <w:sz w:val="21"/>
        </w:rPr>
        <w:t>sid 9805011</w:t>
      </w:r>
      <w:r>
        <w:rPr>
          <w:rFonts w:ascii="맑은 고딕" w:hAnsi="맑은 고딕" w:eastAsia="맑은 고딕"/>
          <w:sz w:val="21"/>
        </w:rPr>
        <w:t xml:space="preserve">, Wazuh 감사추적 룰 </w:t>
      </w:r>
      <w:r>
        <w:rPr>
          <w:rFonts w:ascii="맑은 고딕" w:hAnsi="맑은 고딕" w:eastAsia="맑은 고딕"/>
          <w:b/>
          <w:sz w:val="21"/>
        </w:rPr>
        <w:t>id 104051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[미암호화/PII 접근] — 전송 보호 공백 공략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GDPR Art.32 는 전송 중 데이터 암호화를 요구한다. 너는 태그 </w:t>
      </w:r>
      <w:r>
        <w:rPr>
          <w:rFonts w:ascii="Consolas" w:hAnsi="Consolas"/>
          <w:sz w:val="20"/>
        </w:rPr>
        <w:t>co05r1-&lt;본인id&gt;</w:t>
      </w:r>
      <w:r>
        <w:rPr>
          <w:rFonts w:ascii="맑은 고딕" w:hAnsi="맑은 고딕" w:eastAsia="맑은 고딕"/>
          <w:sz w:val="21"/>
        </w:rPr>
        <w:t xml:space="preserve"> 로 개인 데이터에 접근을 시도해</w:t>
      </w:r>
      <w:r>
        <w:br/>
      </w:r>
      <w:r>
        <w:rPr>
          <w:rFonts w:ascii="맑은 고딕" w:hAnsi="맑은 고딕" w:eastAsia="맑은 고딕"/>
          <w:sz w:val="21"/>
        </w:rPr>
        <w:t>전송/저장 보호의 공백을 입증한다.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"co05r1-kim" -H "Host: govportal.el34.lab" \</w:t>
        <w:br/>
        <w:t xml:space="preserve">  "http://192.168.0.161/api/citizens/export.csv?file=co05r1-kim/../../../../var/log/apache2/access.log"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co05r1</w:t>
      </w:r>
      <w:r>
        <w:rPr>
          <w:rFonts w:ascii="맑은 고딕" w:hAnsi="맑은 고딕" w:eastAsia="맑은 고딕"/>
          <w:sz w:val="21"/>
        </w:rPr>
        <w:t xml:space="preserve"> 가 포함된 흔적이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co05r1</w:t>
      </w:r>
      <w:r>
        <w:rPr>
          <w:rFonts w:ascii="맑은 고딕" w:hAnsi="맑은 고딕" w:eastAsia="맑은 고딕"/>
          <w:sz w:val="21"/>
        </w:rPr>
        <w:t xml:space="preserve"> 태그가 포함된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[PII 잔존] — 데이터 최소화 위반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GDPR 데이터 최소화 원칙상 </w:t>
      </w:r>
      <w:r>
        <w:rPr>
          <w:rFonts w:ascii="Consolas" w:hAnsi="Consolas"/>
          <w:sz w:val="20"/>
        </w:rPr>
        <w:t>/tmp</w:t>
      </w:r>
      <w:r>
        <w:rPr>
          <w:rFonts w:ascii="맑은 고딕" w:hAnsi="맑은 고딕" w:eastAsia="맑은 고딕"/>
          <w:sz w:val="21"/>
        </w:rPr>
        <w:t xml:space="preserve"> 등에 민감 데이터가 남으면 안 된다. 너는 잔존 PII </w:t>
      </w:r>
      <w:r>
        <w:rPr>
          <w:rFonts w:ascii="맑은 고딕" w:hAnsi="맑은 고딕" w:eastAsia="맑은 고딕"/>
          <w:b/>
          <w:sz w:val="21"/>
        </w:rPr>
        <w:t>`/tmp/.co05pii`</w:t>
      </w:r>
      <w:r>
        <w:rPr>
          <w:rFonts w:ascii="맑은 고딕" w:hAnsi="맑은 고딕" w:eastAsia="맑은 고딕"/>
          <w:sz w:val="21"/>
        </w:rPr>
        <w:t>(마커</w:t>
      </w:r>
      <w:r>
        <w:br/>
      </w:r>
      <w:r>
        <w:rPr>
          <w:rFonts w:ascii="Consolas" w:hAnsi="Consolas"/>
          <w:sz w:val="20"/>
        </w:rPr>
        <w:t>co05</w:t>
      </w:r>
      <w:r>
        <w:rPr>
          <w:rFonts w:ascii="맑은 고딕" w:hAnsi="맑은 고딕" w:eastAsia="맑은 고딕"/>
          <w:sz w:val="21"/>
        </w:rPr>
        <w:t xml:space="preserve">)와 계정 </w:t>
      </w:r>
      <w:r>
        <w:rPr>
          <w:rFonts w:ascii="맑은 고딕" w:hAnsi="맑은 고딕" w:eastAsia="맑은 고딕"/>
          <w:b/>
          <w:sz w:val="21"/>
        </w:rPr>
        <w:t>`compa05`</w:t>
      </w:r>
      <w:r>
        <w:rPr>
          <w:rFonts w:ascii="맑은 고딕" w:hAnsi="맑은 고딕" w:eastAsia="맑은 고딕"/>
          <w:sz w:val="21"/>
        </w:rPr>
        <w:t xml:space="preserve"> 를 남겨 위반을 시연한다.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'co05 PII: user@eu.example 4111-1111-1111-1111 DE-passport' &gt; /tmp/.co05pii</w:t>
        <w:br/>
        <w:t>sudo useradd -m -s /bin/bash compa05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/tmp/.co05pii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co05</w:t>
      </w:r>
      <w:r>
        <w:rPr>
          <w:rFonts w:ascii="맑은 고딕" w:hAnsi="맑은 고딕" w:eastAsia="맑은 고딕"/>
          <w:sz w:val="21"/>
        </w:rPr>
        <w:t xml:space="preserve">)이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compa05</w:t>
      </w:r>
      <w:r>
        <w:rPr>
          <w:rFonts w:ascii="맑은 고딕" w:hAnsi="맑은 고딕" w:eastAsia="맑은 고딕"/>
          <w:sz w:val="21"/>
        </w:rPr>
        <w:t xml:space="preserve"> 가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/tmp/.co05pii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co05</w:t>
      </w:r>
      <w:r>
        <w:rPr>
          <w:rFonts w:ascii="맑은 고딕" w:hAnsi="맑은 고딕" w:eastAsia="맑은 고딕"/>
          <w:sz w:val="21"/>
        </w:rPr>
        <w:t xml:space="preserve">) 또는 계정 </w:t>
      </w:r>
      <w:r>
        <w:rPr>
          <w:rFonts w:ascii="Consolas" w:hAnsi="Consolas"/>
          <w:sz w:val="20"/>
        </w:rPr>
        <w:t>compa05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[지속적 보안] — 반복 접근 자동 탐지 Suricata 룰 (sid 9805011)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GDPR Art.32(1)(b) 는 지속적 보안 보장을 요구한다(fail2ban 류 자동 차단). 반복 비인가 접근을 잡는 Suricata</w:t>
      </w:r>
      <w:r>
        <w:br/>
      </w:r>
      <w:r>
        <w:rPr>
          <w:rFonts w:ascii="맑은 고딕" w:hAnsi="맑은 고딕" w:eastAsia="맑은 고딕"/>
          <w:sz w:val="21"/>
        </w:rPr>
        <w:t>룰(</w:t>
      </w:r>
      <w:r>
        <w:rPr>
          <w:rFonts w:ascii="맑은 고딕" w:hAnsi="맑은 고딕" w:eastAsia="맑은 고딕"/>
          <w:b/>
          <w:sz w:val="21"/>
        </w:rPr>
        <w:t>sid 9805011</w:t>
      </w:r>
      <w:r>
        <w:rPr>
          <w:rFonts w:ascii="맑은 고딕" w:hAnsi="맑은 고딕" w:eastAsia="맑은 고딕"/>
          <w:sz w:val="21"/>
        </w:rPr>
        <w:t>)을 배포해 지속 보안을 입증한다.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(msg:"COMPLIANCE-W05 GDPR repeated unauthorized access (path traversal)"; flow:to_server; http.uri; content:"../"; nocase; sid:9805011;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r>
        <w:rPr>
          <w:rFonts w:ascii="맑은 고딕" w:hAnsi="맑은 고딕" w:eastAsia="맑은 고딕"/>
          <w:sz w:val="21"/>
        </w:rPr>
        <w:t>(탐지 → fail2ban/active-response 로 자동 차단 연계.)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9805011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지속 보안 룰 sid 9805011 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[책임추적성] — 감사추적 Wazuh 룰 (id 104051) [Art.5(2)]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GDPR Art.5(2) accountability 는 충분한 감사추적(audit trail)을 요구한다. PII 접근/계정 변경을 추적하는</w:t>
      </w:r>
      <w:r>
        <w:br/>
      </w:r>
      <w:r>
        <w:rPr>
          <w:rFonts w:ascii="맑은 고딕" w:hAnsi="맑은 고딕" w:eastAsia="맑은 고딕"/>
          <w:sz w:val="21"/>
        </w:rPr>
        <w:t>Wazuh 룰(</w:t>
      </w:r>
      <w:r>
        <w:rPr>
          <w:rFonts w:ascii="맑은 고딕" w:hAnsi="맑은 고딕" w:eastAsia="맑은 고딕"/>
          <w:b/>
          <w:sz w:val="21"/>
        </w:rPr>
        <w:t>id 104051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name="edu,gdpr,"&gt;</w:t>
        <w:br/>
        <w:t xml:space="preserve">  &lt;rule id="104051" level="12"&gt;</w:t>
        <w:br/>
        <w:t xml:space="preserve">    &lt;if_group&gt;edu&lt;/if_group&gt;</w:t>
        <w:br/>
        <w:t xml:space="preserve">    &lt;match&gt;compa05&lt;/match&gt;</w:t>
        <w:br/>
        <w:t xml:space="preserve">    &lt;description&gt;COMPLIANCE-W05 - GDPR Art.5(2) accountability: PII access / account change&lt;/description&gt;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104051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감사추적 id 104051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[Art.32 종합 점검·증적] — GDPR 충족 입증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GDPR Art.32 기술적 보호조치를 종합 점검하고 증적을 정리한다(저장 암호화, 전송 TLS, IP 가명화, 백업/복원,</w:t>
      </w:r>
      <w:r>
        <w:br/>
      </w:r>
      <w:r>
        <w:rPr>
          <w:rFonts w:ascii="맑은 고딕" w:hAnsi="맑은 고딕" w:eastAsia="맑은 고딕"/>
          <w:sz w:val="21"/>
        </w:rPr>
        <w:t>자동 차단, /tmp 민감 데이터 정리, 감사추적).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항목별 점검(디스크 암호화/TLS 만료/IP 가명화 로그 포맷/백업/fail2ban/</w:t>
      </w:r>
      <w:r>
        <w:rPr>
          <w:rFonts w:ascii="Consolas" w:hAnsi="Consolas"/>
          <w:sz w:val="20"/>
        </w:rPr>
        <w:t>/tmp</w:t>
      </w:r>
      <w:r>
        <w:rPr>
          <w:rFonts w:ascii="맑은 고딕" w:hAnsi="맑은 고딕" w:eastAsia="맑은 고딕"/>
          <w:sz w:val="21"/>
        </w:rPr>
        <w:t xml:space="preserve"> 정리) + Art.32 조항 매핑 + 증적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미흡 개선 + 잔존 PII(</w:t>
      </w:r>
      <w:r>
        <w:rPr>
          <w:rFonts w:ascii="Consolas" w:hAnsi="Consolas"/>
          <w:sz w:val="20"/>
        </w:rPr>
        <w:t>/tmp/.co05pii</w:t>
      </w:r>
      <w:r>
        <w:rPr>
          <w:rFonts w:ascii="맑은 고딕" w:hAnsi="맑은 고딕" w:eastAsia="맑은 고딕"/>
          <w:sz w:val="21"/>
        </w:rPr>
        <w:t>)·계정(compa05) 헌팅·삭제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Art.32 종합 점검 증적으로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Art.32 항목별 점검·증적·헌팅은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