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Bdr>
          <w:between w:val="single" w:sz="6" w:space="0" w:shadow="0" w:frame="0" w:color="auto"/>
        </w:pBdr>
        <w:shd w:val="clear" w:fill="FFFFFF"/>
        <w:spacing w:lineRule="auto" w:line="300" w:before="0" w:after="240"/>
        <w:ind w:firstLine="0" w:left="0" w:right="0"/>
        <w:bidi w:val="0"/>
        <w:outlineLvl w:val="0"/>
        <w:rPr>
          <w:rFonts w:ascii="Mona Sans VF" w:hAnsi="Mona Sans VF" w:cs="Mona Sans VF" w:eastAsia="Mona Sans VF"/>
          <w:b w:val="1"/>
          <w:i w:val="0"/>
          <w:color w:val="1F2328"/>
          <w:sz w:val="48"/>
          <w:shd w:val="clear" w:color="auto" w:fill="FFFFFF"/>
          <w:rtl w:val="0"/>
        </w:rPr>
      </w:pPr>
      <w:bookmarkStart w:id="0" w:name="_dx_frag_StartFragment"/>
      <w:bookmarkEnd w:id="0"/>
      <w:r>
        <w:rPr>
          <w:rFonts w:ascii="Mona Sans VF" w:hAnsi="Mona Sans VF" w:cs="Mona Sans VF" w:eastAsia="Mona Sans VF"/>
          <w:b w:val="1"/>
          <w:i w:val="0"/>
          <w:color w:val="1F2328"/>
          <w:sz w:val="48"/>
          <w:szCs w:val="48"/>
          <w:shd w:val="clear" w:color="auto" w:fill="FFFFFF"/>
          <w:rtl w:val="0"/>
        </w:rPr>
        <w:t>Complete Provenance-Tracked Parameter List for UPDSF v6.0.1 Model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bookmarkStart w:id="1" w:name="user-content-complete-provenance-tracked"/>
      <w:bookmarkEnd w:id="1"/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(95 core parameters with explicit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Source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objects)</w:t>
      </w:r>
    </w:p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All 95 parameters are listed below with their exact value, units, citation, kind, and note.</w:t>
        <w:br w:type="textWrapping"/>
        <w:t>Provenance counts (directly from model code):</w:t>
      </w:r>
    </w:p>
    <w:p>
      <w:pPr>
        <w:numPr>
          <w:ilvl w:val="0"/>
          <w:numId w:val="1"/>
        </w:numPr>
        <w:shd w:val="clear" w:fill="FFFFFF"/>
        <w:spacing w:before="0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Literature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44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Assumed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33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Imposed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15</w:t>
      </w:r>
    </w:p>
    <w:p>
      <w:pPr>
        <w:numPr>
          <w:ilvl w:val="0"/>
          <w:numId w:val="1"/>
        </w:numPr>
        <w:shd w:val="clear" w:fill="FFFFFF"/>
        <w:spacing w:before="25" w:after="0"/>
        <w:ind w:hanging="360" w:left="72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Derived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3</w:t>
      </w:r>
    </w:p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Physical Constants &amp; Water Chemistry (9 parameters)</w:t>
      </w:r>
    </w:p>
    <w:tbl>
      <w:tblPr>
        <w:tblW w:w="0" w:type="auto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bookmarkStart w:id="2" w:name="user-content-physical-constants--water-c"/>
            <w:bookmarkEnd w:id="2"/>
            <w:r>
              <w:rPr>
                <w:b w:val="1"/>
                <w:vanish w:val="0"/>
                <w:shd w:val="clear" w:color="auto" w:fill="FFFFFF"/>
              </w:rPr>
              <w:t>Parameter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Units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Citation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Kind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Note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kB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1.380649e-23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kg m² s⁻² K⁻¹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CODATA 2018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Boltzmann constant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6.02214076e23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mol⁻¹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CODATA 2018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Avogadro constant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8.314462618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J mol⁻¹ K⁻¹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CODATA 2018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Gas constant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R_kcal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0.001987204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kcal mol⁻¹ K⁻¹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CODATA 2018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Gas constant (kcal)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H_PLANCK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6.62607015e-34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J 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CODATA 2018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Planck constant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298.15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CODATA 2018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Reference temperature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pKw(T_C)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14.957 - 0.0421</w:t>
            </w:r>
            <w:r>
              <w:rPr>
                <w:i w:val="1"/>
                <w:vanish w:val="0"/>
                <w:shd w:val="clear" w:color="auto" w:fill="FFFFFF"/>
              </w:rPr>
              <w:t>T_C + 1.6e-4</w:t>
            </w:r>
            <w:r>
              <w:rPr>
                <w:vanish w:val="0"/>
                <w:shd w:val="clear" w:color="auto" w:fill="FFFFFF"/>
              </w:rPr>
              <w:t>T_C²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Water pK_w at temperature T_C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OH_from_pH(pH_in_situ,T_C)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10^(pH_in_situ - pKw(T_C))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Hydroxide concentration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pH_25_to_in_situ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pH_25 - (13/(2.303</w:t>
            </w:r>
            <w:r>
              <w:rPr>
                <w:i w:val="1"/>
                <w:vanish w:val="0"/>
                <w:shd w:val="clear" w:color="auto" w:fill="FFFFFF"/>
              </w:rPr>
              <w:t>R_kcal))</w:t>
            </w:r>
            <w:r>
              <w:rPr>
                <w:vanish w:val="0"/>
                <w:shd w:val="clear" w:color="auto" w:fill="FFFFFF"/>
              </w:rPr>
              <w:t>(1/T - 1/298.15)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Temperature-corrected pH</w:t>
            </w:r>
          </w:p>
        </w:tc>
      </w:tr>
    </w:tbl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Polymer Physics (5 parameters)</w:t>
      </w:r>
    </w:p>
    <w:tbl>
      <w:tblPr>
        <w:tblW w:w="0" w:type="auto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bookmarkStart w:id="3" w:name="user-content-polymer-physics-5-parameter"/>
            <w:bookmarkEnd w:id="3"/>
            <w:r>
              <w:rPr>
                <w:b w:val="1"/>
                <w:vanish w:val="0"/>
                <w:shd w:val="clear" w:color="auto" w:fill="FFFFFF"/>
              </w:rPr>
              <w:t>Parameter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Units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Citation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Kind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Note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PERSISTENCE_SSRNA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Tinland 1997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Single-stranded RNA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PERSISTENCE_SSDNA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Tinland 1997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Single-stranded DNA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PERSISTENCE_DSDNA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50.0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Hagerman 1988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Double-stranded DNA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CONTOUR_PER_BASE_RNA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0.59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nm/base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Hagerman 1988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RNA contour length per base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CONTOUR_PER_BASE_DNA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0.56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nm/base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Hagerman 1988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DNA contour length per base</w:t>
            </w:r>
          </w:p>
        </w:tc>
      </w:tr>
    </w:tbl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Lipid Membrane (14 parameters + 6 partitions)</w:t>
      </w:r>
    </w:p>
    <w:tbl>
      <w:tblPr>
        <w:tblW w:w="0" w:type="auto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bookmarkStart w:id="4" w:name="user-content-lipid-membrane-14-parameter"/>
            <w:bookmarkEnd w:id="4"/>
            <w:r>
              <w:rPr>
                <w:b w:val="1"/>
                <w:vanish w:val="0"/>
                <w:shd w:val="clear" w:color="auto" w:fill="FFFFFF"/>
              </w:rPr>
              <w:t>Parameter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Units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Citation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Kind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Note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CMC_DEFAULT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1e-3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Deamer 2017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Critical micelle concentration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T_OPT_DEFAULT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65.0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°C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Deamer 2017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Optimal vesicle temperature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PH_OPT_DEFAULT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8.0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Deamer 2017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Optimal vesicle pH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EFFICIENCY_DEFAULT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0.85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Vesicle protection efficiency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PROTECTION_FACTOR_DEFAULT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4.5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Deamer 2017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Lipid protection factor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PARTITION_T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Hansch &amp; Leo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Octanol-water partition coeff. for 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PARTITION_U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Hansch &amp; Leo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Octanol-water partition coeff. for U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PARTITION_C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Hansch &amp; Leo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Octanol-water partition coeff. for 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PARTITION_A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Hansch &amp; Leo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Octanol-water partition coeff. for 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PARTITION_G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1.1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Hansch &amp; Leo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Octanol-water partition coeff. for G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PARTITION_X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Octanol-water partition coeff. for X</w:t>
            </w:r>
          </w:p>
        </w:tc>
      </w:tr>
    </w:tbl>
    <w:p>
      <w:pPr>
        <w:pBdr>
          <w:between w:val="single" w:sz="6" w:space="0" w:shadow="0" w:frame="0" w:color="auto"/>
        </w:pBdr>
        <w:shd w:val="clear" w:fill="FFFFFF"/>
        <w:spacing w:lineRule="auto" w:line="300" w:before="360" w:after="240"/>
        <w:ind w:firstLine="0" w:left="0" w:right="0"/>
        <w:bidi w:val="0"/>
        <w:outlineLvl w:val="1"/>
        <w:rPr>
          <w:rFonts w:ascii="Mona Sans VF" w:hAnsi="Mona Sans VF" w:cs="Mona Sans VF" w:eastAsia="Mona Sans VF"/>
          <w:b w:val="1"/>
          <w:i w:val="0"/>
          <w:color w:val="1F2328"/>
          <w:sz w:val="36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36"/>
          <w:szCs w:val="36"/>
          <w:shd w:val="clear" w:color="auto" w:fill="FFFFFF"/>
          <w:rtl w:val="0"/>
        </w:rPr>
        <w:t>Empirical Rates (68 parameters)</w:t>
      </w:r>
    </w:p>
    <w:tbl>
      <w:tblPr>
        <w:tblW w:w="0" w:type="auto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/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bookmarkStart w:id="5" w:name="user-content-empirical-rates-68-paramete"/>
            <w:bookmarkEnd w:id="5"/>
            <w:r>
              <w:rPr>
                <w:b w:val="1"/>
                <w:vanish w:val="0"/>
                <w:shd w:val="clear" w:color="auto" w:fill="FFFFFF"/>
              </w:rPr>
              <w:t>Parameter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Units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Citation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Kind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jc w:val="center"/>
              <w:rPr>
                <w:b w:val="1"/>
                <w:vanish w:val="0"/>
                <w:shd w:val="clear" w:color="auto" w:fill="FFFFFF"/>
              </w:rPr>
            </w:pPr>
            <w:r>
              <w:rPr>
                <w:b w:val="1"/>
                <w:vanish w:val="0"/>
                <w:shd w:val="clear" w:color="auto" w:fill="FFFFFF"/>
              </w:rPr>
              <w:t>Note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K_U_REF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1.3e-10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Uracil hydrolysis (RNA, 25 °C)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K_T_REF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1.1e-13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Thymine hydrolysis (DNA, 25 °C)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K_A_REF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1.0e-11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estimated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Adenine hydrolysis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K_G_REF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5.0e-12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estimated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Guanine hydrolysis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Ea_U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27.0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Cleaves 2010; 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Uracil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Ea_T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32.0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Thymine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Ea_A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29.0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Shen 1994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Adenine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Ea_G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31.0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Guanine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T_HYDRO_REF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25.0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°C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Reference temperature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K_POLY_REF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0.022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Ferris 1996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Polymerization rate (65 °C)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T_POLY_REF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65.0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°C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Ferris 1996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Reference polymerization temperature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Ea_poly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19.5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Ferris 1996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Polymerization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K_C_DEAM_REF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1.3e-8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Cytosine deamination (dsDNA, 80 °C)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T_C_DEAM_REF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80.0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°C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Reference temperature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Ea_C_deam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28.0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 from Lindahl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Cytosine deamination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C_DEAM_PH_ACCEL_MAX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 (bounded)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Maximum pH acceleration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RATIO_5mC_C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2.2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Shen 1994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5-methylcytosine ratio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SSDNA_DEAM_ENHANCEMENT_C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140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Frederico et al. 1990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ssDNA enhancement for 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SSDNA_DEAM_ENHANCEMENT_G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estimated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ssDNA enhancement for G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K_G_DEAM_REF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1.0e-11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Guanine deamination (dsDNA, 80 °C)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T_G_DEAM_REF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80.0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°C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Reference temperature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Ea_G_deam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30.0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Guanine deamination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FREE_MONOMER_DEAM_SCALE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 (bounded)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Free-monomer enhancement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K_FREE_C_DEAM_REF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1.3e-8 * 2.0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Free cytosine deamination rate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K_FREE_G_DEAM_REF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1.0e-11 * 2.0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derived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Free guanine deamination rate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Ea_free_C_deam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28.0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Free cytosine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Ea_free_G_deam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30.0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kcal/mol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Free guanine activation energy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FREE_MONOMER_FLOOR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Numerical floor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UV_ABS_CROSS_SECTION_REF_CM2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4.0e-20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cm²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Reference UV cross-section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UV_CROSS_SECTION_U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relative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Uracil (reference)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UV_CROSS_SECTION_T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0.28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relative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Ravanat &amp; Cadet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Thymine UV cross-section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UV_CROSS_SECTION_C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relative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Ravanat &amp; Cadet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Cytosine UV cross-section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UV_CROSS_SECTION_A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relative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Ravanat &amp; Cadet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Adenine UV cross-section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UV_CROSS_SECTION_G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0.75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relative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Ravanat &amp; Cadet 1995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Guanine UV cross-section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UV_QUANTUM_YIELD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1e-3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 quantum yield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UV_PEAK_WAVELENGTH_NM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260.0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standard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Nucleic acid UV peak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UV_BANDWIDTH_NM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15.0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nm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Gaussian bandwidth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pKa_U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9.43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Shapiro 1999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Uracil pKa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pKa_T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9.79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Lindahl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Thymine pKa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pKa_C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9.65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Shapiro 1999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Cytosine pKa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pKa_A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9.50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Shen 1994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Adenine pKa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pKa_G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9.25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Guanine pKa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pKa_phosphate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6.7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Ferris 1996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Phosphate pKa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BASE_CATALYSIS_FACTOR_U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Uracil base catalysis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BASE_CATALYSIS_FACTOR_T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0.75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Thymine base catalysis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BASE_CATALYSIS_FACTOR_A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Adenine base catalysis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BASE_CATALYSIS_FACTOR_G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0.85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Guanine base catalysis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PH_FACTOR_DEPROTONATION_GAIN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2.5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v4.x pH deprotonation heuristic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PH_FACTOR_PH_SLOPE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0.1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v4.x pH slope heuristic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PH_FACTOR_MIN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Lower pH factor cap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PH_FACTOR_MAX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20.0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Upper pH factor cap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BASE_CAT_OH_GAIN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100.0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v4.x OH⁻ gain heuristic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BASE_CAT_MAX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50.0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Upper base catalysis cap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ACID_FACTOR_SLOPE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0.2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v4.x acid slope heuristic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ACID_FACTOR_MAX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3.0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Upper acid factor cap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K_POLY_CLAY_ENHANCEMENT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1.9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Ferris 1996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Clay polymerization enhancement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FIDELITY_BASE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Eigen 1993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Base fidelity (order of magnitude)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FIDELITY_ADVANTAGE_GAIN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0.25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v4.x fidelity advantage (positive on T)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CLAY_PROTECTION_FACTOR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9.5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Ertem &amp; Ferris 1996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Clay protection factor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CLAY_ADSORPTION_RATE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5e-3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Clay adsorption rate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CLAY_DESORPTION_RATE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5e-4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s⁻¹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Clay desorption rate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INITIAL_U_RESIDUES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830000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Miller 1953; Orgel 2004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Initial uracil monomers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INITIAL_T_RESIDUES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170000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Miller 1953; Orgel 2004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Initial thymine monomers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INITIAL_C_RESIDUES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650000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Miller 1953; Orgel 2004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Initial cytosine monomers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INITIAL_A_RESIDUES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420000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Miller 1953; Orgel 2004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Initial adenine monomers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INITIAL_G_RESIDUES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500000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Miller 1953; Orgel 2004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literature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Initial guanine monomers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INFLUX_U_RESIDUES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120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residues/s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Uracil monomer influx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INFLUX_T_RESIDUES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45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residues/s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Thymine monomer influx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INFLUX_C_RESIDUES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80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residues/s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Cytosine monomer influx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INFLUX_A_RESIDUES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55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residues/s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Adenine monomer influx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INFLUX_G_RESIDUES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60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residues/s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Guanine monomer influx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INFLUX_X_RESIDUES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residues/s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Xanthine monomer influx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INCORPORATION_BIAS_T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1.35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v4.x T incorporation bias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INCORPORATION_BIAS_U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0.85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v4.x U incorporation bias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INCORPORATION_BIAS_C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0.80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v4.x C incorporation bias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INCORPORATION_BIAS_A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0.90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v4.x A incorporation bias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INCORPORATION_BIAS_G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0.88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v4.x G incorporation bias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INCORPORATION_BIAS_X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1.00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-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imposed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6F8FA"/>
              <w:spacing w:before="0" w:after="240"/>
              <w:ind w:left="0" w:right="0"/>
              <w:rPr>
                <w:vanish w:val="0"/>
                <w:shd w:val="clear" w:color="auto" w:fill="F6F8FA"/>
              </w:rPr>
            </w:pPr>
            <w:r>
              <w:rPr>
                <w:vanish w:val="0"/>
                <w:shd w:val="clear" w:color="auto" w:fill="F6F8FA"/>
              </w:rPr>
              <w:t>Xanthine incorporation bias</w:t>
            </w:r>
          </w:p>
        </w:tc>
      </w:tr>
      <w:tr>
        <w:trPr/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POLYMER_LENGTH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100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residues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assumed</w:t>
            </w:r>
          </w:p>
        </w:tc>
        <w:tc>
          <w:tcPr>
            <w:tcW w:w="0" w:type="auto"/>
            <w:tcBorders>
              <w:top w:val="single" w:sz="6" w:space="0" w:shadow="0" w:frame="0" w:color="D1D9E0"/>
              <w:left w:val="single" w:sz="6" w:space="0" w:shadow="0" w:frame="0" w:color="D1D9E0"/>
              <w:bottom w:val="single" w:sz="6" w:space="0" w:shadow="0" w:frame="0" w:color="D1D9E0"/>
              <w:right w:val="single" w:sz="6" w:space="0" w:shadow="0" w:fram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>
            <w:pPr>
              <w:shd w:val="clear" w:fill="FFFFFF"/>
              <w:spacing w:before="0" w:after="240"/>
              <w:ind w:left="0" w:right="0"/>
              <w:rPr>
                <w:vanish w:val="0"/>
                <w:shd w:val="clear" w:color="auto" w:fill="FFFFFF"/>
              </w:rPr>
            </w:pPr>
            <w:r>
              <w:rPr>
                <w:vanish w:val="0"/>
                <w:shd w:val="clear" w:color="auto" w:fill="FFFFFF"/>
              </w:rPr>
              <w:t>Default polymer length</w:t>
            </w:r>
          </w:p>
        </w:tc>
      </w:tr>
    </w:tbl>
    <w:p>
      <w:pPr>
        <w:shd w:val="clear" w:fill="FFFFFF"/>
        <w:spacing w:before="0" w:after="240"/>
        <w:ind w:firstLine="0" w:left="0" w:right="0"/>
        <w:bidi w:val="0"/>
        <w:rPr>
          <w:rFonts w:ascii="Mona Sans VF" w:hAnsi="Mona Sans VF" w:cs="Mona Sans VF" w:eastAsia="Mona Sans VF"/>
          <w:b w:val="0"/>
          <w:i w:val="0"/>
          <w:color w:val="1F2328"/>
          <w:sz w:val="24"/>
          <w:shd w:val="clear" w:color="auto" w:fill="FFFFFF"/>
          <w:rtl w:val="0"/>
        </w:rPr>
      </w:pPr>
      <w:r>
        <w:rPr>
          <w:rFonts w:ascii="Mona Sans VF" w:hAnsi="Mona Sans VF" w:cs="Mona Sans VF" w:eastAsia="Mona Sans VF"/>
          <w:b w:val="1"/>
          <w:i w:val="0"/>
          <w:color w:val="1F2328"/>
          <w:sz w:val="24"/>
          <w:szCs w:val="24"/>
          <w:shd w:val="clear" w:color="auto" w:fill="FFFFFF"/>
          <w:rtl w:val="0"/>
        </w:rPr>
        <w:t>Total parameters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>: 104 (core model claims 95; full set includes all environmental and rate constants used in simulations).</w:t>
      </w:r>
    </w:p>
    <w:p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All parameters are taken directly from the </w:t>
      </w:r>
      <w:r>
        <w:rPr>
          <w:rFonts w:ascii="ui-monospace" w:hAnsi="ui-monospace" w:cs="ui-monospace" w:eastAsia="ui-monospace"/>
          <w:b w:val="0"/>
          <w:i w:val="0"/>
          <w:color w:val="1F2328"/>
          <w:sz w:val="20"/>
          <w:szCs w:val="24"/>
          <w:shd w:val="clear" w:color="auto" w:fill="FFFFFF"/>
          <w:rtl w:val="0"/>
        </w:rPr>
        <w:t>Source</w:t>
      </w:r>
      <w:r>
        <w:rPr>
          <w:rFonts w:ascii="Mona Sans VF" w:hAnsi="Mona Sans VF" w:cs="Mona Sans VF" w:eastAsia="Mona Sans VF"/>
          <w:b w:val="0"/>
          <w:i w:val="0"/>
          <w:color w:val="1F2328"/>
          <w:sz w:val="24"/>
          <w:szCs w:val="24"/>
          <w:shd w:val="clear" w:color="auto" w:fill="FFFFFF"/>
          <w:rtl w:val="0"/>
        </w:rPr>
        <w:t xml:space="preserve"> dataclass in the official UPDSF v6.0.1 Python code.</w:t>
      </w:r>
      <w:bookmarkStart w:id="6" w:name="_dx_frag_EndFragment"/>
      <w:bookmarkEnd w:id="6"/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CAF8D3"/>
    <w:multiLevelType w:val="hybridMultilevel"/>
    <w:lvl w:ilvl="0" w:tplc="053CB77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2F8C5C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BD5055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34AB08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E91D26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1E0F07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28D918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6A9BDD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6ACA92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Reza Hashemi</dc:creator>
  <dcterms:created xsi:type="dcterms:W3CDTF">2026-10-10T12:08:53Z</dcterms:created>
  <cp:lastModifiedBy>Reza Hashemi</cp:lastModifiedBy>
  <dcterms:modified xsi:type="dcterms:W3CDTF">2026-10-10T12:08:53Z</dcterms:modified>
  <cp:revision>1</cp:revision>
</cp:coreProperties>
</file>