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Bdr>
          <w:between w:val="single" w:sz="6" w:space="0" w:shadow="0" w:frame="0" w:color="auto"/>
        </w:pBdr>
        <w:shd w:val="clear" w:fill="FFFFFF"/>
        <w:spacing w:lineRule="auto" w:line="300" w:before="0" w:after="240"/>
        <w:ind w:firstLine="0" w:left="0" w:right="0"/>
        <w:bidi w:val="0"/>
        <w:outlineLvl w:val="0"/>
        <w:rPr>
          <w:rFonts w:ascii="Mona Sans VF" w:hAnsi="Mona Sans VF" w:cs="Mona Sans VF" w:eastAsia="Mona Sans VF"/>
          <w:b w:val="1"/>
          <w:i w:val="0"/>
          <w:color w:val="1F2328"/>
          <w:sz w:val="48"/>
          <w:szCs w:val="48"/>
          <w:shd w:val="clear" w:color="auto" w:fill="FFFFFF"/>
          <w:rtl w:val="0"/>
        </w:rPr>
      </w:pPr>
      <w:bookmarkStart w:id="0" w:name="_dx_frag_StartFragment"/>
      <w:bookmarkEnd w:id="0"/>
      <w:r>
        <w:drawing>
          <wp:inline xmlns:wp="http://schemas.openxmlformats.org/drawingml/2006/wordprocessingDrawing" distT="0" distB="0" distL="0" distR="0">
            <wp:extent cx="6153150" cy="3526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52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0" w:after="240"/>
        <w:ind w:firstLine="0" w:left="0" w:right="0"/>
        <w:bidi w:val="0"/>
        <w:outlineLvl w:val="0"/>
        <w:rPr>
          <w:rFonts w:ascii="Mona Sans VF" w:hAnsi="Mona Sans VF" w:cs="Mona Sans VF" w:eastAsia="Mona Sans VF"/>
          <w:b w:val="1"/>
          <w:i w:val="0"/>
          <w:color w:val="1F2328"/>
          <w:sz w:val="48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48"/>
          <w:szCs w:val="48"/>
          <w:shd w:val="clear" w:color="auto" w:fill="FFFFFF"/>
          <w:rtl w:val="0"/>
        </w:rPr>
        <w:t>UPDSF v6.0.1 — Global Sensitivity Grid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1" w:name="user-content-updsf-v601--global-sensitiv"/>
      <w:bookmarkEnd w:id="1"/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Chemical Filtering of Thymine over Uracil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  <w:br w:type="textWrapping"/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Optimal at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T = 90.0 °C, pH = 11.0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(CSI = 2.624×)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12-panel contour grid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(T from 40–90 °C, pH from 5.0–11.0)</w:t>
        <w:br w:type="textWrapping"/>
        <w:t>Each panel shows the final value of one diagnostic metric after 240 h simulation.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Layout (left-to-right, top-to-bottom)</w:t>
      </w:r>
    </w:p>
    <w:tbl>
      <w:tblPr>
        <w:tblW w:w="0" w:type="auto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/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bookmarkStart w:id="2" w:name="user-content-panel-layout-left-to-right-"/>
            <w:bookmarkEnd w:id="2"/>
            <w:r>
              <w:rPr>
                <w:b w:val="1"/>
                <w:vanish w:val="0"/>
                <w:shd w:val="clear" w:color="auto" w:fill="FFFFFF"/>
              </w:rPr>
              <w:t>Panel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Title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Key Finding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Chemical-selection index (total env.)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 xml:space="preserve">Max CSI = </w:t>
            </w:r>
            <w:r>
              <w:rPr>
                <w:b w:val="1"/>
                <w:vanish w:val="0"/>
                <w:shd w:val="clear" w:color="auto" w:fill="FFFFFF"/>
              </w:rPr>
              <w:t>2.624×</w:t>
            </w:r>
            <w:r>
              <w:rPr>
                <w:vanish w:val="0"/>
                <w:shd w:val="clear" w:color="auto" w:fill="FFFFFF"/>
              </w:rPr>
              <w:t xml:space="preserve"> at 90 °C / 11 pH (green-yellow)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2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Real T-pref enrichment (direct env.)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 xml:space="preserve">Max </w:t>
            </w:r>
            <w:r>
              <w:rPr>
                <w:b w:val="1"/>
                <w:vanish w:val="0"/>
                <w:shd w:val="clear" w:color="auto" w:fill="F6F8FA"/>
              </w:rPr>
              <w:t>1.579×</w:t>
            </w:r>
            <w:r>
              <w:rPr>
                <w:vanish w:val="0"/>
                <w:shd w:val="clear" w:color="auto" w:fill="F6F8FA"/>
              </w:rPr>
              <w:t xml:space="preserve"> at same optimum; direct discrimination strengthens dramatically at high T/high pH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Pool-composition drift (indirect env.)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 xml:space="preserve">Max </w:t>
            </w:r>
            <w:r>
              <w:rPr>
                <w:b w:val="1"/>
                <w:vanish w:val="0"/>
                <w:shd w:val="clear" w:color="auto" w:fill="FFFFFF"/>
              </w:rPr>
              <w:t>1.965×</w:t>
            </w:r>
            <w:r>
              <w:rPr>
                <w:vanish w:val="0"/>
                <w:shd w:val="clear" w:color="auto" w:fill="FFFFFF"/>
              </w:rPr>
              <w:t xml:space="preserve"> at low T/low pH (40–50 °C, 5–7 pH)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Fraction T in DNA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 xml:space="preserve">Final T fraction rises from ~0.117 (neutral) to </w:t>
            </w:r>
            <w:r>
              <w:rPr>
                <w:b w:val="1"/>
                <w:vanish w:val="0"/>
                <w:shd w:val="clear" w:color="auto" w:fill="F6F8FA"/>
              </w:rPr>
              <w:t>0.3042</w:t>
            </w:r>
            <w:r>
              <w:rPr>
                <w:vanish w:val="0"/>
                <w:shd w:val="clear" w:color="auto" w:fill="F6F8FA"/>
              </w:rPr>
              <w:t xml:space="preserve"> at optimum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Heuristic contribution (red=helps)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Fidelity advantage + incorporation bias add ~0.3–0.4× at high T/pH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6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CSI — zero UV control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Mirrors total CSI; hydrolysis dominates at high T/pH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7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CSI — equal-pools control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CSI drops to ~2.44× when U/T initial pools are equalized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Fraction of destruction events from UV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UV contribution &lt; 5 % at high T/pH; dominates only at low T/low pH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9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log₁₀ max |consumed identity rel err|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Mass-balance error remains &lt; 10⁻¹² across entire grid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Residue retention ratio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Declines at high T/pH (~0.69 at optimum) but never negative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11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log₁₀ C deamination events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Significant source of U loss at high T/pH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12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log₁₀ free T/(U+T) ratio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Free pool depleted of U (–0.70 at optimum)</w:t>
            </w:r>
          </w:p>
        </w:tc>
      </w:tr>
    </w:tbl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Interpretation of the Grid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3" w:name="user-content-interpretation-of-the-grid"/>
      <w:bookmarkEnd w:id="3"/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Direct environmental discrimination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becomes the dominant channel above ~75 °C / pH 9.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Pool-composition drift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(driven by kU/kT = 356.96) is strongest in cold, neutral conditions.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Hydrolysis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(not UV) is the primary selective force under alkaline hydrothermal conditions.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Mass conservation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is machine-precision perfect (relative error ~4.8×10⁻¹⁵) everywhere.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Saved plot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ui-monospace" w:hAnsi="ui-monospace" w:cs="ui-monospace" w:eastAsia="ui-monospace"/>
          <w:b w:val="0"/>
          <w:i w:val="0"/>
          <w:color w:val="1F2328"/>
          <w:sz w:val="20"/>
          <w:szCs w:val="24"/>
          <w:shd w:val="clear" w:color="auto" w:fill="FFFFFF"/>
          <w:rtl w:val="0"/>
        </w:rPr>
        <w:t>sensitivity_v601.png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(300 DPI, publication quality)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The optimum identified by the model (T = 90.0 °C, pH = 11.0) is the clear global maximum of total chemical selection and lies within the experimentally validated window of Pérez-Fernández et al. (2022) for cyanide-based pre-RNA nucleobase synthesis under constant-pH alkaline hydrothermal conditions.</w:t>
      </w:r>
    </w:p>
    <w:p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All 95 parameters are provenance-tagged and reproducible. The grid confirms that chemical filtering of T over U is maximized under plausible prebiotic alkaline hydrothermal vent conditions.</w:t>
      </w:r>
      <w:bookmarkStart w:id="4" w:name="_dx_frag_EndFragment"/>
      <w:bookmarkEnd w:id="4"/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7EFF349"/>
    <w:multiLevelType w:val="hybridMultilevel"/>
    <w:lvl w:ilvl="0" w:tplc="28F28ED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1437FF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9E7162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B9FF26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7174B5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4BF7A7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3C0E56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0CAEEF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F85872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Reza Hashemi</dc:creator>
  <dcterms:created xsi:type="dcterms:W3CDTF">2026-10-10T12:21:15Z</dcterms:created>
  <cp:lastModifiedBy>Reza Hashemi</cp:lastModifiedBy>
  <dcterms:modified xsi:type="dcterms:W3CDTF">2026-10-10T12:21:15Z</dcterms:modified>
  <cp:revision>1</cp:revision>
</cp:coreProperties>
</file>