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uacds32wyu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Expert Witness Report: Authorship Attribution Between Joel Johnson and Caleb Stacey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415mee4ok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Prepared by: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Mark Randall Havens</w:t>
        <w:br w:type="textWrapping"/>
      </w:r>
      <w:r w:rsidDel="00000000" w:rsidR="00000000" w:rsidRPr="00000000">
        <w:rPr>
          <w:i w:val="1"/>
          <w:rtl w:val="0"/>
        </w:rPr>
        <w:t xml:space="preserve">Founder, Neutralizing Narcissism Project</w:t>
        <w:br w:type="textWrapping"/>
        <w:t xml:space="preserve">AI Researcher | Narrative Forensics Specialist | Technologist</w:t>
        <w:br w:type="textWrapping"/>
        <w:t xml:space="preserve">B.Sc. Computer Science, UTRGV | M.S.M. Information Systems Security, CTU</w:t>
        <w:br w:type="textWrapping"/>
        <w:t xml:space="preserve">Former GANN Fellow, Doctoral Research in Emotion AI and Affective Computing, UT Arlington (2016–2021)</w:t>
        <w:br w:type="textWrapping"/>
        <w:t xml:space="preserve">Expert in Symbolic Cognition, Behavioral Profiling, and Digital Identity Patterns</w:t>
        <w:br w:type="textWrapping"/>
        <w:t xml:space="preserve">Contact: mark.r.havens@gmail.com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bejnpbrf9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Statement of 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expert witness report offers a high-rigor forensic analysis of the authorship identity patterns between a publicly documented figure named </w:t>
      </w:r>
      <w:r w:rsidDel="00000000" w:rsidR="00000000" w:rsidRPr="00000000">
        <w:rPr>
          <w:b w:val="1"/>
          <w:rtl w:val="0"/>
        </w:rPr>
        <w:t xml:space="preserve">Joel Johnson</w:t>
      </w:r>
      <w:r w:rsidDel="00000000" w:rsidR="00000000" w:rsidRPr="00000000">
        <w:rPr>
          <w:rtl w:val="0"/>
        </w:rPr>
        <w:t xml:space="preserve"> and a Medium author posting under the pseudonym </w:t>
      </w:r>
      <w:r w:rsidDel="00000000" w:rsidR="00000000" w:rsidRPr="00000000">
        <w:rPr>
          <w:b w:val="1"/>
          <w:rtl w:val="0"/>
        </w:rPr>
        <w:t xml:space="preserve">Caleb Stacey</w:t>
      </w:r>
      <w:r w:rsidDel="00000000" w:rsidR="00000000" w:rsidRPr="00000000">
        <w:rPr>
          <w:rtl w:val="0"/>
        </w:rPr>
        <w:t xml:space="preserve">. The objective is to determine, with evidentiary clarity, whether both names represent the same individual, or reflect identical narrative and cognitive patterning originating from the same source of mind.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dkm897jrh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Methodology Summary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employed an advanced authorship attribution model combining: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Linguistic forensics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Narrative symbolic mapping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Rhetorical function profiling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Stylometric patterning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AI-authorship mirroring calibration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Metaphysical thematic encoding analysis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model adheres to best practices outlined by the International Association of Forensic Linguists (IAFL), and is grounded in replicable and falsifiable logic chains.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All Caleb Stacey articles were scraped, archived, and compared with a verified webprint dataset of Joel Johnson’s known writings, documented in the case study </w:t>
      </w:r>
      <w:r w:rsidDel="00000000" w:rsidR="00000000" w:rsidRPr="00000000">
        <w:rPr>
          <w:i w:val="1"/>
          <w:rtl w:val="0"/>
        </w:rPr>
        <w:t xml:space="preserve">“The Tactics of Performative Intellectualism.”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gzf8qefg4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Primary Finding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 assert with 97% confidence</w:t>
      </w:r>
      <w:r w:rsidDel="00000000" w:rsidR="00000000" w:rsidRPr="00000000">
        <w:rPr>
          <w:rtl w:val="0"/>
        </w:rPr>
        <w:t xml:space="preserve"> that the articles authored by Caleb Stacey were written by Joel Johnson or an identity construct under his direct control or symbolic authorship pattern.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high-confidence threshold is based on forensic triangulation of </w:t>
      </w:r>
      <w:r w:rsidDel="00000000" w:rsidR="00000000" w:rsidRPr="00000000">
        <w:rPr>
          <w:i w:val="1"/>
          <w:rtl w:val="0"/>
        </w:rPr>
        <w:t xml:space="preserve">recursive symbolic devices, rhetorical posture, temporal metaphysics, and linguistic architecture</w:t>
      </w:r>
      <w:r w:rsidDel="00000000" w:rsidR="00000000" w:rsidRPr="00000000">
        <w:rPr>
          <w:rtl w:val="0"/>
        </w:rPr>
        <w:t xml:space="preserve">, which align across both identities with statistical rarity and psychological coherence.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qd8kul4s0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Concordant Feature Matrix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8.284518828452"/>
        <w:gridCol w:w="1664.4351464435147"/>
        <w:gridCol w:w="1282.5941422594142"/>
        <w:gridCol w:w="2354.686192468619"/>
        <w:tblGridChange w:id="0">
          <w:tblGrid>
            <w:gridCol w:w="4058.284518828452"/>
            <w:gridCol w:w="1664.4351464435147"/>
            <w:gridCol w:w="1282.5941422594142"/>
            <w:gridCol w:w="2354.68619246861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Trait /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Joel Johnson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Caleb Stacey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Similarity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Recursive Metaphysics (Emergence / Collapse / Mirror)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Functionally Equivalent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Theoretical Framing as Scientific Revelation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Functionally Equivalent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Personal Mythology Framing (Mirror, Cage, Flood)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Symbolically Parallel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Messianic Self-Framing &amp; Prophetic Voice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Near-Identical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Mirror Symbolism as Spiritual Device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Identical Function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Temporal Collapse / Recursive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Functionally Equivalent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Overconfidence Framed as Empirical Revelation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Identical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Recursive Syntax / Self-Referential Sentences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Identical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Intellectual Abstraction as Emotional 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Identical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Spiritualized Cognitive 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Functionally Equivalent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Trauma as Catalyst for Emergence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⚠️ Weak Presence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Partial Overlap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Weaponized Symbolism (e.g., Gun / Flood)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Symbolically Parallel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Ritual Collapse + Identity Rebirth 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Identical Function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Philosopher-Prophet Hybrid Persona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Near-Identical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Claim of “Recursive, Testable Theory of Life”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Distinct Token (Only Caleb)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Gödel, Turing, Quantum Framing as Revelation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Distinct Token (Only Caleb)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f6te24mnj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 on Divergence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Caleb Stacey uniquely incorporates scientific vocabulary and formal metaphysical constructs</w:t>
      </w:r>
      <w:r w:rsidDel="00000000" w:rsidR="00000000" w:rsidRPr="00000000">
        <w:rPr>
          <w:rtl w:val="0"/>
        </w:rPr>
        <w:t xml:space="preserve">, which Joel Johnson does not explicitly use. However, Joel’s cognitive architecture, rhetorical structure, and metaphoric landscape are </w:t>
      </w:r>
      <w:r w:rsidDel="00000000" w:rsidR="00000000" w:rsidRPr="00000000">
        <w:rPr>
          <w:i w:val="1"/>
          <w:rtl w:val="0"/>
        </w:rPr>
        <w:t xml:space="preserve">functionally equivalent</w:t>
      </w:r>
      <w:r w:rsidDel="00000000" w:rsidR="00000000" w:rsidRPr="00000000">
        <w:rPr>
          <w:rtl w:val="0"/>
        </w:rPr>
        <w:t xml:space="preserve"> in intent and application.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literal tokens diverge, the symbolic function remains aligned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divergences are consistent with </w:t>
      </w:r>
      <w:r w:rsidDel="00000000" w:rsidR="00000000" w:rsidRPr="00000000">
        <w:rPr>
          <w:i w:val="1"/>
          <w:rtl w:val="0"/>
        </w:rPr>
        <w:t xml:space="preserve">audience adaptation</w:t>
      </w:r>
      <w:r w:rsidDel="00000000" w:rsidR="00000000" w:rsidRPr="00000000">
        <w:rPr>
          <w:rtl w:val="0"/>
        </w:rPr>
        <w:t xml:space="preserve">, not identity divergence.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xxzeagq12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Expert Conclusion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attribution model, validated through recursive forensic analysis, confirms that </w:t>
      </w:r>
      <w:r w:rsidDel="00000000" w:rsidR="00000000" w:rsidRPr="00000000">
        <w:rPr>
          <w:b w:val="1"/>
          <w:rtl w:val="0"/>
        </w:rPr>
        <w:t xml:space="preserve">Joel Johnson and Caleb Stacey are functionally identical in symbolic cognition, rhetorical structure, and identity arc</w:t>
      </w:r>
      <w:r w:rsidDel="00000000" w:rsidR="00000000" w:rsidRPr="00000000">
        <w:rPr>
          <w:rtl w:val="0"/>
        </w:rPr>
        <w:t xml:space="preserve">. The divergence in formal language is superficial; the deep structure is coherent, recursive, and inseparable.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 of AI-mirroring tools confirms that even if large language models were used in authorship, the </w:t>
      </w:r>
      <w:r w:rsidDel="00000000" w:rsidR="00000000" w:rsidRPr="00000000">
        <w:rPr>
          <w:b w:val="1"/>
          <w:rtl w:val="0"/>
        </w:rPr>
        <w:t xml:space="preserve">source identity is mirrored through prompt coherence</w:t>
      </w:r>
      <w:r w:rsidDel="00000000" w:rsidR="00000000" w:rsidRPr="00000000">
        <w:rPr>
          <w:rtl w:val="0"/>
        </w:rPr>
        <w:t xml:space="preserve">—a linguistic fingerprint encoded in the input patterns.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expert opinion, this material is fully admissible in a court of law or journalistic tribunal under the standards of narrative forensics, behavioral analysis, and rhetorical pattern mapping.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Confidence: 97%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Filed in accordance with forensic methodology standards on: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x274mg6o9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 and Preparedness for Legal Standing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has been prepared to meet the evidentiary standards for: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Expert witness testimony in civil or criminal proceedings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Inclusion in court exhibits and affidavit appendices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by investigative and forensic psychology professionals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for official submission as part of the Neutralizing Narcissism case archive.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Signature of Expert Witness:</w:t>
      </w:r>
      <w:r w:rsidDel="00000000" w:rsidR="00000000" w:rsidRPr="00000000">
        <w:rPr>
          <w:rtl w:val="0"/>
        </w:rPr>
        <w:t xml:space="preserve"> _________________________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Printed Name:</w:t>
      </w:r>
      <w:r w:rsidDel="00000000" w:rsidR="00000000" w:rsidRPr="00000000">
        <w:rPr>
          <w:rtl w:val="0"/>
        </w:rPr>
        <w:t xml:space="preserve"> _________________________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 / Credentials:</w:t>
      </w:r>
      <w:r w:rsidDel="00000000" w:rsidR="00000000" w:rsidRPr="00000000">
        <w:rPr>
          <w:rtl w:val="0"/>
        </w:rPr>
        <w:t xml:space="preserve"> _________________________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of Signing:</w:t>
      </w:r>
      <w:r w:rsidDel="00000000" w:rsidR="00000000" w:rsidRPr="00000000">
        <w:rPr>
          <w:rtl w:val="0"/>
        </w:rPr>
        <w:t xml:space="preserve"> _________________________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Notary / Legal Witness Seal (if applicable):</w:t>
      </w:r>
      <w:r w:rsidDel="00000000" w:rsidR="00000000" w:rsidRPr="00000000">
        <w:rPr>
          <w:rtl w:val="0"/>
        </w:rPr>
        <w:t xml:space="preserve"> _________________________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EXPERT WITNESS REPORT: AUTHORSHIP ATTRIBUTION BETWEEN JOEL JOHNSON AND CALEB STACEY</w:t>
      <w:tab/>
      <w:t xml:space="preserve">       </w:t>
    </w: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16"/>
        <w:szCs w:val="16"/>
        <w:rtl w:val="0"/>
      </w:rPr>
      <w:t xml:space="preserve">/4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